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A08" w:rsidRPr="00202E42" w:rsidRDefault="009E31A4" w:rsidP="00202E42">
      <w:pPr>
        <w:jc w:val="center"/>
        <w:rPr>
          <w:rFonts w:ascii="Times New Roman" w:hAnsi="Times New Roman"/>
          <w:b/>
          <w:sz w:val="24"/>
          <w:szCs w:val="24"/>
        </w:rPr>
      </w:pPr>
      <w:r w:rsidRPr="00202E42">
        <w:rPr>
          <w:rFonts w:ascii="Times New Roman" w:hAnsi="Times New Roman"/>
          <w:b/>
          <w:sz w:val="24"/>
          <w:szCs w:val="24"/>
        </w:rPr>
        <w:t>IMPORTANT NOTICE</w:t>
      </w:r>
    </w:p>
    <w:p w:rsidR="009760AB" w:rsidRPr="00202E42" w:rsidRDefault="009760AB" w:rsidP="00202E42">
      <w:pPr>
        <w:jc w:val="center"/>
        <w:rPr>
          <w:rFonts w:ascii="Times New Roman" w:hAnsi="Times New Roman"/>
          <w:b/>
          <w:sz w:val="24"/>
          <w:szCs w:val="24"/>
        </w:rPr>
      </w:pPr>
      <w:r w:rsidRPr="00202E42">
        <w:rPr>
          <w:rFonts w:ascii="Times New Roman" w:hAnsi="Times New Roman"/>
          <w:b/>
          <w:sz w:val="24"/>
          <w:szCs w:val="24"/>
        </w:rPr>
        <w:t>Health Research Regulations 2018</w:t>
      </w:r>
    </w:p>
    <w:p w:rsidR="00085A08" w:rsidRPr="00202E42" w:rsidRDefault="009760AB" w:rsidP="00202E42">
      <w:pPr>
        <w:jc w:val="center"/>
        <w:rPr>
          <w:rFonts w:ascii="Times New Roman" w:hAnsi="Times New Roman"/>
          <w:b/>
          <w:sz w:val="24"/>
          <w:szCs w:val="24"/>
        </w:rPr>
      </w:pPr>
      <w:r w:rsidRPr="00202E42">
        <w:rPr>
          <w:rFonts w:ascii="Times New Roman" w:hAnsi="Times New Roman"/>
          <w:b/>
          <w:sz w:val="24"/>
          <w:szCs w:val="24"/>
        </w:rPr>
        <w:t xml:space="preserve">Matters being considered </w:t>
      </w:r>
      <w:r w:rsidR="001B02D7" w:rsidRPr="00202E42">
        <w:rPr>
          <w:rFonts w:ascii="Times New Roman" w:hAnsi="Times New Roman"/>
          <w:b/>
          <w:sz w:val="24"/>
          <w:szCs w:val="24"/>
        </w:rPr>
        <w:t xml:space="preserve">by the Department of Health </w:t>
      </w:r>
      <w:r w:rsidRPr="00202E42">
        <w:rPr>
          <w:rFonts w:ascii="Times New Roman" w:hAnsi="Times New Roman"/>
          <w:b/>
          <w:sz w:val="24"/>
          <w:szCs w:val="24"/>
        </w:rPr>
        <w:t>that may lead to amendments</w:t>
      </w:r>
    </w:p>
    <w:p w:rsidR="00C33B6C" w:rsidRPr="00202E42" w:rsidRDefault="00202E42" w:rsidP="00202E42">
      <w:pPr>
        <w:rPr>
          <w:rFonts w:ascii="Times New Roman" w:hAnsi="Times New Roman"/>
          <w:sz w:val="24"/>
          <w:szCs w:val="24"/>
        </w:rPr>
      </w:pPr>
      <w:r w:rsidRPr="00202E42">
        <w:rPr>
          <w:rFonts w:ascii="Times New Roman" w:eastAsia="Times New Roman" w:hAnsi="Times New Roman"/>
          <w:sz w:val="24"/>
          <w:szCs w:val="24"/>
          <w:lang w:eastAsia="en-IE"/>
        </w:rPr>
        <w:t>The main purpose of the Regulations is to promote health research by promoting public confidence in and support for health research having regard to the applicable legal framework, accepted best practice and the need to give effect to patient empowerment in relation to a patient’s own information</w:t>
      </w:r>
      <w:r w:rsidR="00325D14" w:rsidRPr="00202E42">
        <w:rPr>
          <w:rFonts w:ascii="Times New Roman" w:eastAsia="Times New Roman" w:hAnsi="Times New Roman"/>
          <w:sz w:val="24"/>
          <w:szCs w:val="24"/>
          <w:lang w:eastAsia="en-IE"/>
        </w:rPr>
        <w:t>.  </w:t>
      </w:r>
      <w:r w:rsidR="00D76094" w:rsidRPr="00202E42">
        <w:rPr>
          <w:rFonts w:ascii="Times New Roman" w:hAnsi="Times New Roman"/>
          <w:sz w:val="24"/>
          <w:szCs w:val="24"/>
        </w:rPr>
        <w:t xml:space="preserve">It </w:t>
      </w:r>
      <w:r w:rsidR="005E4E29" w:rsidRPr="00202E42">
        <w:rPr>
          <w:rFonts w:ascii="Times New Roman" w:hAnsi="Times New Roman"/>
          <w:sz w:val="24"/>
          <w:szCs w:val="24"/>
        </w:rPr>
        <w:t>has</w:t>
      </w:r>
      <w:r w:rsidR="00D76094" w:rsidRPr="00202E42">
        <w:rPr>
          <w:rFonts w:ascii="Times New Roman" w:hAnsi="Times New Roman"/>
          <w:sz w:val="24"/>
          <w:szCs w:val="24"/>
        </w:rPr>
        <w:t xml:space="preserve"> always</w:t>
      </w:r>
      <w:r w:rsidR="005E4E29" w:rsidRPr="00202E42">
        <w:rPr>
          <w:rFonts w:ascii="Times New Roman" w:hAnsi="Times New Roman"/>
          <w:sz w:val="24"/>
          <w:szCs w:val="24"/>
        </w:rPr>
        <w:t xml:space="preserve"> been</w:t>
      </w:r>
      <w:r w:rsidR="00D76094" w:rsidRPr="00202E42">
        <w:rPr>
          <w:rFonts w:ascii="Times New Roman" w:hAnsi="Times New Roman"/>
          <w:sz w:val="24"/>
          <w:szCs w:val="24"/>
        </w:rPr>
        <w:t xml:space="preserve"> </w:t>
      </w:r>
      <w:r w:rsidR="009760AB" w:rsidRPr="00202E42">
        <w:rPr>
          <w:rFonts w:ascii="Times New Roman" w:hAnsi="Times New Roman"/>
          <w:sz w:val="24"/>
          <w:szCs w:val="24"/>
        </w:rPr>
        <w:t xml:space="preserve">the publicly </w:t>
      </w:r>
      <w:r w:rsidR="00D76094" w:rsidRPr="00202E42">
        <w:rPr>
          <w:rFonts w:ascii="Times New Roman" w:hAnsi="Times New Roman"/>
          <w:sz w:val="24"/>
          <w:szCs w:val="24"/>
        </w:rPr>
        <w:t xml:space="preserve">stated position </w:t>
      </w:r>
      <w:r w:rsidR="009760AB" w:rsidRPr="00202E42">
        <w:rPr>
          <w:rFonts w:ascii="Times New Roman" w:hAnsi="Times New Roman"/>
          <w:sz w:val="24"/>
          <w:szCs w:val="24"/>
        </w:rPr>
        <w:t xml:space="preserve">of the Department of Health </w:t>
      </w:r>
      <w:r w:rsidR="00D76094" w:rsidRPr="00202E42">
        <w:rPr>
          <w:rFonts w:ascii="Times New Roman" w:hAnsi="Times New Roman"/>
          <w:sz w:val="24"/>
          <w:szCs w:val="24"/>
        </w:rPr>
        <w:t xml:space="preserve">in relation to the </w:t>
      </w:r>
      <w:r w:rsidR="00B6468F" w:rsidRPr="00202E42">
        <w:rPr>
          <w:rFonts w:ascii="Times New Roman" w:hAnsi="Times New Roman"/>
          <w:sz w:val="24"/>
          <w:szCs w:val="24"/>
        </w:rPr>
        <w:t>HR</w:t>
      </w:r>
      <w:r w:rsidR="00325D14" w:rsidRPr="00202E42">
        <w:rPr>
          <w:rFonts w:ascii="Times New Roman" w:hAnsi="Times New Roman"/>
          <w:sz w:val="24"/>
          <w:szCs w:val="24"/>
        </w:rPr>
        <w:t>R</w:t>
      </w:r>
      <w:r w:rsidR="00D76094" w:rsidRPr="00202E42">
        <w:rPr>
          <w:rFonts w:ascii="Times New Roman" w:hAnsi="Times New Roman"/>
          <w:sz w:val="24"/>
          <w:szCs w:val="24"/>
        </w:rPr>
        <w:t xml:space="preserve"> that </w:t>
      </w:r>
      <w:r w:rsidR="009760AB" w:rsidRPr="00202E42">
        <w:rPr>
          <w:rFonts w:ascii="Times New Roman" w:hAnsi="Times New Roman"/>
          <w:sz w:val="24"/>
          <w:szCs w:val="24"/>
        </w:rPr>
        <w:t xml:space="preserve">the Department </w:t>
      </w:r>
      <w:r w:rsidR="00D76094" w:rsidRPr="00202E42">
        <w:rPr>
          <w:rFonts w:ascii="Times New Roman" w:hAnsi="Times New Roman"/>
          <w:sz w:val="24"/>
          <w:szCs w:val="24"/>
        </w:rPr>
        <w:t>would monitor the</w:t>
      </w:r>
      <w:r w:rsidR="001B02D7" w:rsidRPr="00202E42">
        <w:rPr>
          <w:rFonts w:ascii="Times New Roman" w:hAnsi="Times New Roman"/>
          <w:sz w:val="24"/>
          <w:szCs w:val="24"/>
        </w:rPr>
        <w:t xml:space="preserve">m </w:t>
      </w:r>
      <w:r w:rsidR="009760AB" w:rsidRPr="00202E42">
        <w:rPr>
          <w:rFonts w:ascii="Times New Roman" w:hAnsi="Times New Roman"/>
          <w:sz w:val="24"/>
          <w:szCs w:val="24"/>
        </w:rPr>
        <w:t>to ensure that the</w:t>
      </w:r>
      <w:r w:rsidR="001B02D7" w:rsidRPr="00202E42">
        <w:rPr>
          <w:rFonts w:ascii="Times New Roman" w:hAnsi="Times New Roman"/>
          <w:sz w:val="24"/>
          <w:szCs w:val="24"/>
        </w:rPr>
        <w:t>ir application was</w:t>
      </w:r>
      <w:r w:rsidR="009760AB" w:rsidRPr="00202E42">
        <w:rPr>
          <w:rFonts w:ascii="Times New Roman" w:hAnsi="Times New Roman"/>
          <w:sz w:val="24"/>
          <w:szCs w:val="24"/>
        </w:rPr>
        <w:t xml:space="preserve"> in line with </w:t>
      </w:r>
      <w:r w:rsidR="001B02D7" w:rsidRPr="00202E42">
        <w:rPr>
          <w:rFonts w:ascii="Times New Roman" w:hAnsi="Times New Roman"/>
          <w:sz w:val="24"/>
          <w:szCs w:val="24"/>
        </w:rPr>
        <w:t>meeting their policy o</w:t>
      </w:r>
      <w:r w:rsidR="009760AB" w:rsidRPr="00202E42">
        <w:rPr>
          <w:rFonts w:ascii="Times New Roman" w:hAnsi="Times New Roman"/>
          <w:sz w:val="24"/>
          <w:szCs w:val="24"/>
        </w:rPr>
        <w:t>bjective</w:t>
      </w:r>
      <w:r w:rsidR="001B02D7" w:rsidRPr="00202E42">
        <w:rPr>
          <w:rFonts w:ascii="Times New Roman" w:hAnsi="Times New Roman"/>
          <w:sz w:val="24"/>
          <w:szCs w:val="24"/>
        </w:rPr>
        <w:t xml:space="preserve">. </w:t>
      </w:r>
    </w:p>
    <w:p w:rsidR="009E31A4" w:rsidRPr="00202E42" w:rsidRDefault="00C33B6C" w:rsidP="00202E42">
      <w:pPr>
        <w:rPr>
          <w:rFonts w:ascii="Times New Roman" w:hAnsi="Times New Roman"/>
          <w:sz w:val="24"/>
          <w:szCs w:val="24"/>
        </w:rPr>
      </w:pPr>
      <w:r w:rsidRPr="00202E42">
        <w:rPr>
          <w:rFonts w:ascii="Times New Roman" w:hAnsi="Times New Roman"/>
          <w:sz w:val="24"/>
          <w:szCs w:val="24"/>
        </w:rPr>
        <w:t xml:space="preserve">At the seminar last October where the Department introduced the GDPR/HRR, the Department stated its aspiration to have the Health Research Consent Declaration Committee (HRCDC) established by January 2019. However, </w:t>
      </w:r>
      <w:r w:rsidR="009E31A4" w:rsidRPr="00202E42">
        <w:rPr>
          <w:rFonts w:ascii="Times New Roman" w:hAnsi="Times New Roman"/>
          <w:sz w:val="24"/>
          <w:szCs w:val="24"/>
        </w:rPr>
        <w:t>officials</w:t>
      </w:r>
      <w:r w:rsidRPr="00202E42">
        <w:rPr>
          <w:rFonts w:ascii="Times New Roman" w:hAnsi="Times New Roman"/>
          <w:sz w:val="24"/>
          <w:szCs w:val="24"/>
        </w:rPr>
        <w:t xml:space="preserve"> also stated that an extension would be sought to the HRR should the necessity arise due to any delays with putting the HRCDC in place. Therefore, following the recent establishment of the HRCDC and with planning underway to consider applications from April</w:t>
      </w:r>
      <w:r w:rsidR="009E31A4" w:rsidRPr="00202E42">
        <w:rPr>
          <w:rFonts w:ascii="Times New Roman" w:hAnsi="Times New Roman"/>
          <w:sz w:val="24"/>
          <w:szCs w:val="24"/>
        </w:rPr>
        <w:t xml:space="preserve"> 2019</w:t>
      </w:r>
      <w:r w:rsidRPr="00202E42">
        <w:rPr>
          <w:rFonts w:ascii="Times New Roman" w:hAnsi="Times New Roman"/>
          <w:sz w:val="24"/>
          <w:szCs w:val="24"/>
        </w:rPr>
        <w:t xml:space="preserve">, </w:t>
      </w:r>
      <w:r w:rsidRPr="00202E42">
        <w:rPr>
          <w:rFonts w:ascii="Times New Roman" w:hAnsi="Times New Roman"/>
          <w:b/>
          <w:sz w:val="24"/>
          <w:szCs w:val="24"/>
        </w:rPr>
        <w:t xml:space="preserve">the </w:t>
      </w:r>
      <w:bookmarkStart w:id="0" w:name="_GoBack"/>
      <w:bookmarkEnd w:id="0"/>
      <w:r w:rsidRPr="00202E42">
        <w:rPr>
          <w:rFonts w:ascii="Times New Roman" w:hAnsi="Times New Roman"/>
          <w:b/>
          <w:sz w:val="24"/>
          <w:szCs w:val="24"/>
        </w:rPr>
        <w:t xml:space="preserve">Department wishes to advise that it is in the process of seeking an extension to the period under Regulation 6 for consent in relation to ongoing research and related applications to the </w:t>
      </w:r>
      <w:r w:rsidR="009E31A4" w:rsidRPr="00202E42">
        <w:rPr>
          <w:rFonts w:ascii="Times New Roman" w:hAnsi="Times New Roman"/>
          <w:b/>
          <w:sz w:val="24"/>
          <w:szCs w:val="24"/>
        </w:rPr>
        <w:t>HRCDC</w:t>
      </w:r>
      <w:r w:rsidR="009E31A4" w:rsidRPr="00202E42">
        <w:rPr>
          <w:rFonts w:ascii="Times New Roman" w:hAnsi="Times New Roman"/>
          <w:sz w:val="24"/>
          <w:szCs w:val="24"/>
        </w:rPr>
        <w:t xml:space="preserve">. Extending the specified date requiring explicit consent for ongoing research beyond 30 April would allow for applications for a consent declaration to be made in an orderly and timely way to the Committee and importantly will allow the recently appointed Committee </w:t>
      </w:r>
      <w:r w:rsidR="00AA5717" w:rsidRPr="00202E42">
        <w:rPr>
          <w:rFonts w:ascii="Times New Roman" w:hAnsi="Times New Roman"/>
          <w:sz w:val="24"/>
          <w:szCs w:val="24"/>
        </w:rPr>
        <w:t xml:space="preserve">appropriate </w:t>
      </w:r>
      <w:r w:rsidR="009E31A4" w:rsidRPr="00202E42">
        <w:rPr>
          <w:rFonts w:ascii="Times New Roman" w:hAnsi="Times New Roman"/>
          <w:sz w:val="24"/>
          <w:szCs w:val="24"/>
        </w:rPr>
        <w:t>time and space to conduct its deliberations.</w:t>
      </w:r>
    </w:p>
    <w:p w:rsidR="005E4E29" w:rsidRPr="00202E42" w:rsidRDefault="009E31A4" w:rsidP="00202E42">
      <w:pPr>
        <w:rPr>
          <w:rFonts w:ascii="Times New Roman" w:hAnsi="Times New Roman"/>
          <w:sz w:val="24"/>
          <w:szCs w:val="24"/>
        </w:rPr>
      </w:pPr>
      <w:r w:rsidRPr="00202E42">
        <w:rPr>
          <w:rFonts w:ascii="Times New Roman" w:hAnsi="Times New Roman"/>
          <w:sz w:val="24"/>
          <w:szCs w:val="24"/>
        </w:rPr>
        <w:t>Furthermore</w:t>
      </w:r>
      <w:r w:rsidR="005E4E29" w:rsidRPr="00202E42">
        <w:rPr>
          <w:rFonts w:ascii="Times New Roman" w:hAnsi="Times New Roman"/>
          <w:sz w:val="24"/>
          <w:szCs w:val="24"/>
        </w:rPr>
        <w:t xml:space="preserve">, </w:t>
      </w:r>
      <w:r w:rsidR="00AA5717" w:rsidRPr="00202E42">
        <w:rPr>
          <w:rFonts w:ascii="Times New Roman" w:hAnsi="Times New Roman"/>
          <w:sz w:val="24"/>
          <w:szCs w:val="24"/>
        </w:rPr>
        <w:t xml:space="preserve">at the October seminar and subsequent events, </w:t>
      </w:r>
      <w:r w:rsidR="005E4E29" w:rsidRPr="00202E42">
        <w:rPr>
          <w:rFonts w:ascii="Times New Roman" w:hAnsi="Times New Roman"/>
          <w:sz w:val="24"/>
          <w:szCs w:val="24"/>
        </w:rPr>
        <w:t xml:space="preserve">the </w:t>
      </w:r>
      <w:r w:rsidR="001B02D7" w:rsidRPr="00202E42">
        <w:rPr>
          <w:rFonts w:ascii="Times New Roman" w:hAnsi="Times New Roman"/>
          <w:sz w:val="24"/>
          <w:szCs w:val="24"/>
        </w:rPr>
        <w:t xml:space="preserve">Department </w:t>
      </w:r>
      <w:r w:rsidR="005E4E29" w:rsidRPr="00202E42">
        <w:rPr>
          <w:rFonts w:ascii="Times New Roman" w:hAnsi="Times New Roman"/>
          <w:sz w:val="24"/>
          <w:szCs w:val="24"/>
        </w:rPr>
        <w:t xml:space="preserve">pro-actively flagged a number of areas </w:t>
      </w:r>
      <w:r w:rsidR="00AA5717" w:rsidRPr="00202E42">
        <w:rPr>
          <w:rFonts w:ascii="Times New Roman" w:hAnsi="Times New Roman"/>
          <w:sz w:val="24"/>
          <w:szCs w:val="24"/>
        </w:rPr>
        <w:t xml:space="preserve">based on learning from other countries. The Department </w:t>
      </w:r>
      <w:r w:rsidR="005E4E29" w:rsidRPr="00202E42">
        <w:rPr>
          <w:rFonts w:ascii="Times New Roman" w:hAnsi="Times New Roman"/>
          <w:sz w:val="24"/>
          <w:szCs w:val="24"/>
        </w:rPr>
        <w:t xml:space="preserve">committed to </w:t>
      </w:r>
      <w:r w:rsidR="00C33B6C" w:rsidRPr="00202E42">
        <w:rPr>
          <w:rFonts w:ascii="Times New Roman" w:hAnsi="Times New Roman"/>
          <w:sz w:val="24"/>
          <w:szCs w:val="24"/>
        </w:rPr>
        <w:t xml:space="preserve">continued </w:t>
      </w:r>
      <w:r w:rsidR="005E4E29" w:rsidRPr="00202E42">
        <w:rPr>
          <w:rFonts w:ascii="Times New Roman" w:hAnsi="Times New Roman"/>
          <w:sz w:val="24"/>
          <w:szCs w:val="24"/>
        </w:rPr>
        <w:t>engag</w:t>
      </w:r>
      <w:r w:rsidR="00C33B6C" w:rsidRPr="00202E42">
        <w:rPr>
          <w:rFonts w:ascii="Times New Roman" w:hAnsi="Times New Roman"/>
          <w:sz w:val="24"/>
          <w:szCs w:val="24"/>
        </w:rPr>
        <w:t>ement</w:t>
      </w:r>
      <w:r w:rsidR="005E4E29" w:rsidRPr="00202E42">
        <w:rPr>
          <w:rFonts w:ascii="Times New Roman" w:hAnsi="Times New Roman"/>
          <w:sz w:val="24"/>
          <w:szCs w:val="24"/>
        </w:rPr>
        <w:t xml:space="preserve"> with the research community</w:t>
      </w:r>
      <w:r w:rsidR="00AA5717" w:rsidRPr="00202E42">
        <w:rPr>
          <w:rFonts w:ascii="Times New Roman" w:hAnsi="Times New Roman"/>
          <w:sz w:val="24"/>
          <w:szCs w:val="24"/>
        </w:rPr>
        <w:t>, data controller organisations</w:t>
      </w:r>
      <w:r w:rsidR="005E4E29" w:rsidRPr="00202E42">
        <w:rPr>
          <w:rFonts w:ascii="Times New Roman" w:hAnsi="Times New Roman"/>
          <w:sz w:val="24"/>
          <w:szCs w:val="24"/>
        </w:rPr>
        <w:t xml:space="preserve"> and the Data Protection Commission </w:t>
      </w:r>
      <w:r w:rsidR="00AA5717" w:rsidRPr="00202E42">
        <w:rPr>
          <w:rFonts w:ascii="Times New Roman" w:hAnsi="Times New Roman"/>
          <w:sz w:val="24"/>
          <w:szCs w:val="24"/>
        </w:rPr>
        <w:t xml:space="preserve">regarding these areas (e.g. retrospective chart reviews, pre-screening for eligibility for research studies) and others raised at the seminar </w:t>
      </w:r>
      <w:r w:rsidR="005E4E29" w:rsidRPr="00202E42">
        <w:rPr>
          <w:rFonts w:ascii="Times New Roman" w:hAnsi="Times New Roman"/>
          <w:sz w:val="24"/>
          <w:szCs w:val="24"/>
        </w:rPr>
        <w:t xml:space="preserve">in order to resolve </w:t>
      </w:r>
      <w:r w:rsidR="00AA5717" w:rsidRPr="00202E42">
        <w:rPr>
          <w:rFonts w:ascii="Times New Roman" w:hAnsi="Times New Roman"/>
          <w:sz w:val="24"/>
          <w:szCs w:val="24"/>
        </w:rPr>
        <w:t xml:space="preserve">any </w:t>
      </w:r>
      <w:r w:rsidR="005E4E29" w:rsidRPr="00202E42">
        <w:rPr>
          <w:rFonts w:ascii="Times New Roman" w:hAnsi="Times New Roman"/>
          <w:sz w:val="24"/>
          <w:szCs w:val="24"/>
        </w:rPr>
        <w:t xml:space="preserve">underlying uncertainty or confusion and to suggest acceptable and appropriate </w:t>
      </w:r>
      <w:r w:rsidR="00AA5717" w:rsidRPr="00202E42">
        <w:rPr>
          <w:rFonts w:ascii="Times New Roman" w:hAnsi="Times New Roman"/>
          <w:sz w:val="24"/>
          <w:szCs w:val="24"/>
        </w:rPr>
        <w:t>approaches to ensure that such research activity</w:t>
      </w:r>
      <w:r w:rsidR="00C33B6C" w:rsidRPr="00202E42">
        <w:rPr>
          <w:rFonts w:ascii="Times New Roman" w:hAnsi="Times New Roman"/>
          <w:sz w:val="24"/>
          <w:szCs w:val="24"/>
        </w:rPr>
        <w:t xml:space="preserve"> </w:t>
      </w:r>
      <w:r w:rsidR="00491AB6" w:rsidRPr="00202E42">
        <w:rPr>
          <w:rFonts w:ascii="Times New Roman" w:hAnsi="Times New Roman"/>
          <w:sz w:val="24"/>
          <w:szCs w:val="24"/>
        </w:rPr>
        <w:t xml:space="preserve">can </w:t>
      </w:r>
      <w:r w:rsidR="00AA5717" w:rsidRPr="00202E42">
        <w:rPr>
          <w:rFonts w:ascii="Times New Roman" w:hAnsi="Times New Roman"/>
          <w:sz w:val="24"/>
          <w:szCs w:val="24"/>
        </w:rPr>
        <w:t xml:space="preserve">continue while </w:t>
      </w:r>
      <w:r w:rsidR="00491AB6" w:rsidRPr="00202E42">
        <w:rPr>
          <w:rFonts w:ascii="Times New Roman" w:hAnsi="Times New Roman"/>
          <w:sz w:val="24"/>
          <w:szCs w:val="24"/>
        </w:rPr>
        <w:t xml:space="preserve">fully </w:t>
      </w:r>
      <w:r w:rsidR="00C33B6C" w:rsidRPr="00202E42">
        <w:rPr>
          <w:rFonts w:ascii="Times New Roman" w:hAnsi="Times New Roman"/>
          <w:sz w:val="24"/>
          <w:szCs w:val="24"/>
        </w:rPr>
        <w:t>align</w:t>
      </w:r>
      <w:r w:rsidR="00AA5717" w:rsidRPr="00202E42">
        <w:rPr>
          <w:rFonts w:ascii="Times New Roman" w:hAnsi="Times New Roman"/>
          <w:sz w:val="24"/>
          <w:szCs w:val="24"/>
        </w:rPr>
        <w:t>ing</w:t>
      </w:r>
      <w:r w:rsidR="00C33B6C" w:rsidRPr="00202E42">
        <w:rPr>
          <w:rFonts w:ascii="Times New Roman" w:hAnsi="Times New Roman"/>
          <w:sz w:val="24"/>
          <w:szCs w:val="24"/>
        </w:rPr>
        <w:t xml:space="preserve"> with the principles </w:t>
      </w:r>
      <w:r w:rsidR="00AA5717" w:rsidRPr="00202E42">
        <w:rPr>
          <w:rFonts w:ascii="Times New Roman" w:hAnsi="Times New Roman"/>
          <w:sz w:val="24"/>
          <w:szCs w:val="24"/>
        </w:rPr>
        <w:t xml:space="preserve">set out in </w:t>
      </w:r>
      <w:r w:rsidR="00C33B6C" w:rsidRPr="00202E42">
        <w:rPr>
          <w:rFonts w:ascii="Times New Roman" w:hAnsi="Times New Roman"/>
          <w:sz w:val="24"/>
          <w:szCs w:val="24"/>
        </w:rPr>
        <w:t>GDPR</w:t>
      </w:r>
      <w:r w:rsidR="00491AB6" w:rsidRPr="00202E42">
        <w:rPr>
          <w:rFonts w:ascii="Times New Roman" w:hAnsi="Times New Roman"/>
          <w:sz w:val="24"/>
          <w:szCs w:val="24"/>
        </w:rPr>
        <w:t xml:space="preserve"> and maintaining public confidence</w:t>
      </w:r>
      <w:r w:rsidR="005E4E29" w:rsidRPr="00202E42">
        <w:rPr>
          <w:rFonts w:ascii="Times New Roman" w:hAnsi="Times New Roman"/>
          <w:sz w:val="24"/>
          <w:szCs w:val="24"/>
        </w:rPr>
        <w:t xml:space="preserve">. </w:t>
      </w:r>
    </w:p>
    <w:p w:rsidR="00AA5717" w:rsidRPr="00202E42" w:rsidRDefault="001B02D7" w:rsidP="00202E42">
      <w:pPr>
        <w:rPr>
          <w:rFonts w:ascii="Times New Roman" w:hAnsi="Times New Roman"/>
          <w:sz w:val="24"/>
          <w:szCs w:val="24"/>
        </w:rPr>
      </w:pPr>
      <w:r w:rsidRPr="00202E42">
        <w:rPr>
          <w:rFonts w:ascii="Times New Roman" w:hAnsi="Times New Roman"/>
          <w:sz w:val="24"/>
          <w:szCs w:val="24"/>
        </w:rPr>
        <w:t xml:space="preserve">Accordingly, over the past </w:t>
      </w:r>
      <w:r w:rsidR="00FD4C1D" w:rsidRPr="00202E42">
        <w:rPr>
          <w:rFonts w:ascii="Times New Roman" w:hAnsi="Times New Roman"/>
          <w:sz w:val="24"/>
          <w:szCs w:val="24"/>
        </w:rPr>
        <w:t xml:space="preserve">number of </w:t>
      </w:r>
      <w:r w:rsidRPr="00202E42">
        <w:rPr>
          <w:rFonts w:ascii="Times New Roman" w:hAnsi="Times New Roman"/>
          <w:sz w:val="24"/>
          <w:szCs w:val="24"/>
        </w:rPr>
        <w:t xml:space="preserve">months, the Department has engaged </w:t>
      </w:r>
      <w:r w:rsidR="00E96506" w:rsidRPr="00202E42">
        <w:rPr>
          <w:rFonts w:ascii="Times New Roman" w:hAnsi="Times New Roman"/>
          <w:sz w:val="24"/>
          <w:szCs w:val="24"/>
        </w:rPr>
        <w:t xml:space="preserve">with researchers, research ethics committees and institutions and bodies that support </w:t>
      </w:r>
      <w:r w:rsidR="004421B0" w:rsidRPr="00202E42">
        <w:rPr>
          <w:rFonts w:ascii="Times New Roman" w:hAnsi="Times New Roman"/>
          <w:sz w:val="24"/>
          <w:szCs w:val="24"/>
        </w:rPr>
        <w:t xml:space="preserve">health </w:t>
      </w:r>
      <w:r w:rsidR="00E96506" w:rsidRPr="00202E42">
        <w:rPr>
          <w:rFonts w:ascii="Times New Roman" w:hAnsi="Times New Roman"/>
          <w:sz w:val="24"/>
          <w:szCs w:val="24"/>
        </w:rPr>
        <w:t>research in Ireland</w:t>
      </w:r>
      <w:r w:rsidR="00F13524" w:rsidRPr="00202E42">
        <w:rPr>
          <w:rFonts w:ascii="Times New Roman" w:hAnsi="Times New Roman"/>
          <w:sz w:val="24"/>
          <w:szCs w:val="24"/>
        </w:rPr>
        <w:t>.  In</w:t>
      </w:r>
      <w:r w:rsidRPr="00202E42">
        <w:rPr>
          <w:rFonts w:ascii="Times New Roman" w:hAnsi="Times New Roman"/>
          <w:sz w:val="24"/>
          <w:szCs w:val="24"/>
        </w:rPr>
        <w:t xml:space="preserve"> line with that open approach, the </w:t>
      </w:r>
      <w:r w:rsidR="00E96506" w:rsidRPr="00202E42">
        <w:rPr>
          <w:rFonts w:ascii="Times New Roman" w:hAnsi="Times New Roman"/>
          <w:sz w:val="24"/>
          <w:szCs w:val="24"/>
        </w:rPr>
        <w:t xml:space="preserve">Department </w:t>
      </w:r>
      <w:r w:rsidRPr="00202E42">
        <w:rPr>
          <w:rFonts w:ascii="Times New Roman" w:hAnsi="Times New Roman"/>
          <w:sz w:val="24"/>
          <w:szCs w:val="24"/>
        </w:rPr>
        <w:t xml:space="preserve">can now state </w:t>
      </w:r>
      <w:r w:rsidR="00E96506" w:rsidRPr="00202E42">
        <w:rPr>
          <w:rFonts w:ascii="Times New Roman" w:hAnsi="Times New Roman"/>
          <w:sz w:val="24"/>
          <w:szCs w:val="24"/>
        </w:rPr>
        <w:t xml:space="preserve">that it is consulting with the Data Protection Commission on certain </w:t>
      </w:r>
      <w:r w:rsidRPr="00202E42">
        <w:rPr>
          <w:rFonts w:ascii="Times New Roman" w:hAnsi="Times New Roman"/>
          <w:sz w:val="24"/>
          <w:szCs w:val="24"/>
        </w:rPr>
        <w:t xml:space="preserve">specific </w:t>
      </w:r>
      <w:r w:rsidR="00E96506" w:rsidRPr="00202E42">
        <w:rPr>
          <w:rFonts w:ascii="Times New Roman" w:hAnsi="Times New Roman"/>
          <w:sz w:val="24"/>
          <w:szCs w:val="24"/>
        </w:rPr>
        <w:t>matters</w:t>
      </w:r>
      <w:r w:rsidR="004421B0" w:rsidRPr="00202E42">
        <w:rPr>
          <w:rFonts w:ascii="Times New Roman" w:hAnsi="Times New Roman"/>
          <w:sz w:val="24"/>
          <w:szCs w:val="24"/>
        </w:rPr>
        <w:t>.</w:t>
      </w:r>
      <w:r w:rsidR="00AA5717" w:rsidRPr="00202E42">
        <w:rPr>
          <w:rFonts w:ascii="Times New Roman" w:hAnsi="Times New Roman"/>
          <w:sz w:val="24"/>
          <w:szCs w:val="24"/>
        </w:rPr>
        <w:t xml:space="preserve"> </w:t>
      </w:r>
      <w:r w:rsidR="004421B0" w:rsidRPr="00202E42">
        <w:rPr>
          <w:rFonts w:ascii="Times New Roman" w:hAnsi="Times New Roman"/>
          <w:sz w:val="24"/>
          <w:szCs w:val="24"/>
        </w:rPr>
        <w:t xml:space="preserve">That engagement </w:t>
      </w:r>
      <w:r w:rsidR="00E96506" w:rsidRPr="00202E42">
        <w:rPr>
          <w:rFonts w:ascii="Times New Roman" w:hAnsi="Times New Roman"/>
          <w:b/>
          <w:sz w:val="24"/>
          <w:szCs w:val="24"/>
        </w:rPr>
        <w:t>may</w:t>
      </w:r>
      <w:r w:rsidR="00E96506" w:rsidRPr="00202E42">
        <w:rPr>
          <w:rFonts w:ascii="Times New Roman" w:hAnsi="Times New Roman"/>
          <w:sz w:val="24"/>
          <w:szCs w:val="24"/>
        </w:rPr>
        <w:t xml:space="preserve"> lead to amendments to the </w:t>
      </w:r>
      <w:r w:rsidR="004421B0" w:rsidRPr="00202E42">
        <w:rPr>
          <w:rFonts w:ascii="Times New Roman" w:hAnsi="Times New Roman"/>
          <w:sz w:val="24"/>
          <w:szCs w:val="24"/>
        </w:rPr>
        <w:t xml:space="preserve">Health Research </w:t>
      </w:r>
      <w:r w:rsidR="00E96506" w:rsidRPr="00202E42">
        <w:rPr>
          <w:rFonts w:ascii="Times New Roman" w:hAnsi="Times New Roman"/>
          <w:sz w:val="24"/>
          <w:szCs w:val="24"/>
        </w:rPr>
        <w:t>Regulations</w:t>
      </w:r>
      <w:r w:rsidR="004421B0" w:rsidRPr="00202E42">
        <w:rPr>
          <w:rFonts w:ascii="Times New Roman" w:hAnsi="Times New Roman"/>
          <w:sz w:val="24"/>
          <w:szCs w:val="24"/>
        </w:rPr>
        <w:t xml:space="preserve"> where any such amendments are sound from a policy </w:t>
      </w:r>
      <w:r w:rsidRPr="00202E42">
        <w:rPr>
          <w:rFonts w:ascii="Times New Roman" w:hAnsi="Times New Roman"/>
          <w:sz w:val="24"/>
          <w:szCs w:val="24"/>
        </w:rPr>
        <w:t xml:space="preserve">perspective </w:t>
      </w:r>
      <w:r w:rsidR="004421B0" w:rsidRPr="00202E42">
        <w:rPr>
          <w:rFonts w:ascii="Times New Roman" w:hAnsi="Times New Roman"/>
          <w:sz w:val="24"/>
          <w:szCs w:val="24"/>
        </w:rPr>
        <w:t xml:space="preserve">and legally feasible.  </w:t>
      </w:r>
    </w:p>
    <w:p w:rsidR="00AA5717" w:rsidRPr="00202E42" w:rsidRDefault="00AA5717" w:rsidP="00202E42">
      <w:pPr>
        <w:rPr>
          <w:rFonts w:ascii="Times New Roman" w:hAnsi="Times New Roman"/>
          <w:sz w:val="24"/>
          <w:szCs w:val="24"/>
        </w:rPr>
      </w:pPr>
      <w:r w:rsidRPr="00202E42">
        <w:rPr>
          <w:rFonts w:ascii="Times New Roman" w:hAnsi="Times New Roman"/>
          <w:sz w:val="24"/>
          <w:szCs w:val="24"/>
        </w:rPr>
        <w:t>The areas under consideration are:</w:t>
      </w:r>
    </w:p>
    <w:p w:rsidR="00153437" w:rsidRPr="00202E42" w:rsidRDefault="00AA5717" w:rsidP="00202E42">
      <w:pPr>
        <w:rPr>
          <w:rFonts w:ascii="Times New Roman" w:hAnsi="Times New Roman"/>
          <w:sz w:val="24"/>
          <w:szCs w:val="24"/>
        </w:rPr>
      </w:pPr>
      <w:r w:rsidRPr="00202E42">
        <w:rPr>
          <w:rFonts w:ascii="Times New Roman" w:hAnsi="Times New Roman"/>
          <w:sz w:val="24"/>
          <w:szCs w:val="24"/>
        </w:rPr>
        <w:t>-</w:t>
      </w:r>
      <w:r w:rsidRPr="00202E42">
        <w:rPr>
          <w:rFonts w:ascii="Times New Roman" w:hAnsi="Times New Roman"/>
          <w:b/>
          <w:sz w:val="24"/>
          <w:szCs w:val="24"/>
        </w:rPr>
        <w:t xml:space="preserve"> </w:t>
      </w:r>
      <w:r w:rsidR="00CE62FE" w:rsidRPr="00202E42">
        <w:rPr>
          <w:rFonts w:ascii="Times New Roman" w:hAnsi="Times New Roman"/>
          <w:sz w:val="24"/>
          <w:szCs w:val="24"/>
        </w:rPr>
        <w:t>An amendment which would</w:t>
      </w:r>
      <w:r w:rsidR="00CE62FE" w:rsidRPr="00202E42">
        <w:rPr>
          <w:rFonts w:ascii="Times New Roman" w:hAnsi="Times New Roman"/>
          <w:b/>
          <w:sz w:val="24"/>
          <w:szCs w:val="24"/>
        </w:rPr>
        <w:t xml:space="preserve"> </w:t>
      </w:r>
      <w:r w:rsidR="00CE62FE" w:rsidRPr="00202E42">
        <w:rPr>
          <w:rFonts w:ascii="Times New Roman" w:hAnsi="Times New Roman"/>
          <w:sz w:val="24"/>
          <w:szCs w:val="24"/>
        </w:rPr>
        <w:t>se</w:t>
      </w:r>
      <w:r w:rsidR="00491AB6" w:rsidRPr="00202E42">
        <w:rPr>
          <w:rFonts w:ascii="Times New Roman" w:hAnsi="Times New Roman"/>
          <w:sz w:val="24"/>
          <w:szCs w:val="24"/>
        </w:rPr>
        <w:t>ek to o</w:t>
      </w:r>
      <w:r w:rsidR="00153437" w:rsidRPr="00202E42">
        <w:rPr>
          <w:rFonts w:ascii="Times New Roman" w:hAnsi="Times New Roman"/>
          <w:sz w:val="24"/>
          <w:szCs w:val="24"/>
        </w:rPr>
        <w:t>ptimis</w:t>
      </w:r>
      <w:r w:rsidR="00491AB6" w:rsidRPr="00202E42">
        <w:rPr>
          <w:rFonts w:ascii="Times New Roman" w:hAnsi="Times New Roman"/>
          <w:sz w:val="24"/>
          <w:szCs w:val="24"/>
        </w:rPr>
        <w:t>e</w:t>
      </w:r>
      <w:r w:rsidR="00153437" w:rsidRPr="00202E42">
        <w:rPr>
          <w:rFonts w:ascii="Times New Roman" w:hAnsi="Times New Roman"/>
          <w:sz w:val="24"/>
          <w:szCs w:val="24"/>
        </w:rPr>
        <w:t xml:space="preserve"> the use of </w:t>
      </w:r>
      <w:r w:rsidR="00153437" w:rsidRPr="00202E42">
        <w:rPr>
          <w:rFonts w:ascii="Times New Roman" w:hAnsi="Times New Roman"/>
          <w:b/>
          <w:sz w:val="24"/>
          <w:szCs w:val="24"/>
        </w:rPr>
        <w:t>administrative data for health research purposes</w:t>
      </w:r>
      <w:r w:rsidR="00153437" w:rsidRPr="00202E42">
        <w:rPr>
          <w:rFonts w:ascii="Times New Roman" w:hAnsi="Times New Roman"/>
          <w:sz w:val="24"/>
          <w:szCs w:val="24"/>
        </w:rPr>
        <w:t xml:space="preserve"> – by facilitating d</w:t>
      </w:r>
      <w:r w:rsidRPr="00202E42">
        <w:rPr>
          <w:rFonts w:ascii="Times New Roman" w:hAnsi="Times New Roman"/>
          <w:sz w:val="24"/>
          <w:szCs w:val="24"/>
        </w:rPr>
        <w:t>isclosure</w:t>
      </w:r>
      <w:r w:rsidR="00153437" w:rsidRPr="00202E42">
        <w:rPr>
          <w:rFonts w:ascii="Times New Roman" w:hAnsi="Times New Roman"/>
          <w:sz w:val="24"/>
          <w:szCs w:val="24"/>
        </w:rPr>
        <w:t xml:space="preserve"> (in the absence of explicit consent)</w:t>
      </w:r>
      <w:r w:rsidRPr="00202E42">
        <w:rPr>
          <w:rFonts w:ascii="Times New Roman" w:hAnsi="Times New Roman"/>
          <w:sz w:val="24"/>
          <w:szCs w:val="24"/>
        </w:rPr>
        <w:t xml:space="preserve"> of</w:t>
      </w:r>
      <w:r w:rsidR="00202E42">
        <w:rPr>
          <w:rFonts w:ascii="Times New Roman" w:hAnsi="Times New Roman"/>
          <w:sz w:val="24"/>
          <w:szCs w:val="24"/>
        </w:rPr>
        <w:t xml:space="preserve"> </w:t>
      </w:r>
      <w:r w:rsidRPr="00202E42">
        <w:rPr>
          <w:rFonts w:ascii="Times New Roman" w:hAnsi="Times New Roman"/>
          <w:sz w:val="24"/>
          <w:szCs w:val="24"/>
        </w:rPr>
        <w:lastRenderedPageBreak/>
        <w:t xml:space="preserve">pseudonymised personal data for secondary health research purposes </w:t>
      </w:r>
      <w:r w:rsidR="00153437" w:rsidRPr="00202E42">
        <w:rPr>
          <w:rFonts w:ascii="Times New Roman" w:hAnsi="Times New Roman"/>
          <w:sz w:val="24"/>
          <w:szCs w:val="24"/>
        </w:rPr>
        <w:t>where re-identification by the recipient is not permitted.</w:t>
      </w:r>
    </w:p>
    <w:p w:rsidR="00153437" w:rsidRPr="00202E42" w:rsidRDefault="00B417E2" w:rsidP="00202E42">
      <w:pPr>
        <w:rPr>
          <w:rFonts w:ascii="Times New Roman" w:hAnsi="Times New Roman"/>
          <w:sz w:val="24"/>
          <w:szCs w:val="24"/>
        </w:rPr>
      </w:pPr>
      <w:r w:rsidRPr="00202E42">
        <w:rPr>
          <w:rFonts w:ascii="Times New Roman" w:hAnsi="Times New Roman"/>
          <w:sz w:val="24"/>
          <w:szCs w:val="24"/>
        </w:rPr>
        <w:t xml:space="preserve"> - </w:t>
      </w:r>
      <w:r w:rsidR="00CE62FE" w:rsidRPr="00202E42">
        <w:rPr>
          <w:rFonts w:ascii="Times New Roman" w:hAnsi="Times New Roman"/>
          <w:sz w:val="24"/>
          <w:szCs w:val="24"/>
        </w:rPr>
        <w:t>An amendment which seeks to p</w:t>
      </w:r>
      <w:r w:rsidR="00491AB6" w:rsidRPr="00202E42">
        <w:rPr>
          <w:rFonts w:ascii="Times New Roman" w:hAnsi="Times New Roman"/>
          <w:sz w:val="24"/>
          <w:szCs w:val="24"/>
        </w:rPr>
        <w:t>rovid</w:t>
      </w:r>
      <w:r w:rsidR="00CE62FE" w:rsidRPr="00202E42">
        <w:rPr>
          <w:rFonts w:ascii="Times New Roman" w:hAnsi="Times New Roman"/>
          <w:sz w:val="24"/>
          <w:szCs w:val="24"/>
        </w:rPr>
        <w:t>e</w:t>
      </w:r>
      <w:r w:rsidR="00491AB6" w:rsidRPr="00202E42">
        <w:rPr>
          <w:rFonts w:ascii="Times New Roman" w:hAnsi="Times New Roman"/>
          <w:sz w:val="24"/>
          <w:szCs w:val="24"/>
        </w:rPr>
        <w:t xml:space="preserve"> a mechanism </w:t>
      </w:r>
      <w:r w:rsidR="00AA5717" w:rsidRPr="00202E42">
        <w:rPr>
          <w:rFonts w:ascii="Times New Roman" w:hAnsi="Times New Roman"/>
          <w:sz w:val="24"/>
          <w:szCs w:val="24"/>
        </w:rPr>
        <w:t xml:space="preserve">for </w:t>
      </w:r>
      <w:r w:rsidR="00AA5717" w:rsidRPr="00202E42">
        <w:rPr>
          <w:rFonts w:ascii="Times New Roman" w:hAnsi="Times New Roman"/>
          <w:b/>
          <w:sz w:val="24"/>
          <w:szCs w:val="24"/>
        </w:rPr>
        <w:t>retrospective chart reviews studies</w:t>
      </w:r>
      <w:r w:rsidR="00AA5717" w:rsidRPr="00202E42">
        <w:rPr>
          <w:rFonts w:ascii="Times New Roman" w:hAnsi="Times New Roman"/>
          <w:sz w:val="24"/>
          <w:szCs w:val="24"/>
        </w:rPr>
        <w:t xml:space="preserve"> </w:t>
      </w:r>
      <w:r w:rsidR="00491AB6" w:rsidRPr="00202E42">
        <w:rPr>
          <w:rFonts w:ascii="Times New Roman" w:hAnsi="Times New Roman"/>
          <w:sz w:val="24"/>
          <w:szCs w:val="24"/>
        </w:rPr>
        <w:t xml:space="preserve">carried out in a data controller’s organisation by health practitioners and employees of that organisation </w:t>
      </w:r>
      <w:r w:rsidR="00202E42">
        <w:rPr>
          <w:rFonts w:ascii="Times New Roman" w:hAnsi="Times New Roman"/>
          <w:sz w:val="24"/>
          <w:szCs w:val="24"/>
        </w:rPr>
        <w:t>(</w:t>
      </w:r>
      <w:r w:rsidR="00AA5717" w:rsidRPr="00202E42">
        <w:rPr>
          <w:rFonts w:ascii="Times New Roman" w:hAnsi="Times New Roman"/>
          <w:sz w:val="24"/>
          <w:szCs w:val="24"/>
        </w:rPr>
        <w:t>that are low risk and have high transparency</w:t>
      </w:r>
      <w:r w:rsidR="00202E42">
        <w:rPr>
          <w:rFonts w:ascii="Times New Roman" w:hAnsi="Times New Roman"/>
          <w:sz w:val="24"/>
          <w:szCs w:val="24"/>
        </w:rPr>
        <w:t>)</w:t>
      </w:r>
      <w:r w:rsidR="00491AB6" w:rsidRPr="00202E42">
        <w:rPr>
          <w:rFonts w:ascii="Times New Roman" w:hAnsi="Times New Roman"/>
          <w:sz w:val="24"/>
          <w:szCs w:val="24"/>
        </w:rPr>
        <w:t xml:space="preserve">. </w:t>
      </w:r>
      <w:r w:rsidR="00CE62FE" w:rsidRPr="00202E42">
        <w:rPr>
          <w:rFonts w:ascii="Times New Roman" w:hAnsi="Times New Roman"/>
          <w:sz w:val="24"/>
          <w:szCs w:val="24"/>
        </w:rPr>
        <w:t>This</w:t>
      </w:r>
      <w:r w:rsidR="00491AB6" w:rsidRPr="00202E42">
        <w:rPr>
          <w:rFonts w:ascii="Times New Roman" w:hAnsi="Times New Roman"/>
          <w:sz w:val="24"/>
          <w:szCs w:val="24"/>
        </w:rPr>
        <w:t xml:space="preserve"> acknowledge</w:t>
      </w:r>
      <w:r w:rsidR="00CE62FE" w:rsidRPr="00202E42">
        <w:rPr>
          <w:rFonts w:ascii="Times New Roman" w:hAnsi="Times New Roman"/>
          <w:sz w:val="24"/>
          <w:szCs w:val="24"/>
        </w:rPr>
        <w:t>s</w:t>
      </w:r>
      <w:r w:rsidR="00491AB6" w:rsidRPr="00202E42">
        <w:rPr>
          <w:rFonts w:ascii="Times New Roman" w:hAnsi="Times New Roman"/>
          <w:sz w:val="24"/>
          <w:szCs w:val="24"/>
        </w:rPr>
        <w:t xml:space="preserve"> the </w:t>
      </w:r>
      <w:r w:rsidR="00CE62FE" w:rsidRPr="00202E42">
        <w:rPr>
          <w:rFonts w:ascii="Times New Roman" w:hAnsi="Times New Roman"/>
          <w:sz w:val="24"/>
          <w:szCs w:val="24"/>
        </w:rPr>
        <w:t>challenges</w:t>
      </w:r>
      <w:r w:rsidR="00491AB6" w:rsidRPr="00202E42">
        <w:rPr>
          <w:rFonts w:ascii="Times New Roman" w:hAnsi="Times New Roman"/>
          <w:sz w:val="24"/>
          <w:szCs w:val="24"/>
        </w:rPr>
        <w:t xml:space="preserve"> of obtaining </w:t>
      </w:r>
      <w:r w:rsidR="00CE62FE" w:rsidRPr="00202E42">
        <w:rPr>
          <w:rFonts w:ascii="Times New Roman" w:hAnsi="Times New Roman"/>
          <w:sz w:val="24"/>
          <w:szCs w:val="24"/>
        </w:rPr>
        <w:t xml:space="preserve">valid, </w:t>
      </w:r>
      <w:r w:rsidR="00491AB6" w:rsidRPr="00202E42">
        <w:rPr>
          <w:rFonts w:ascii="Times New Roman" w:hAnsi="Times New Roman"/>
          <w:sz w:val="24"/>
          <w:szCs w:val="24"/>
        </w:rPr>
        <w:t>explicit consent for such research a</w:t>
      </w:r>
      <w:r w:rsidR="006D39D9" w:rsidRPr="00202E42">
        <w:rPr>
          <w:rFonts w:ascii="Times New Roman" w:hAnsi="Times New Roman"/>
          <w:sz w:val="24"/>
          <w:szCs w:val="24"/>
        </w:rPr>
        <w:t xml:space="preserve">nd would </w:t>
      </w:r>
      <w:r w:rsidR="00202E42">
        <w:rPr>
          <w:rFonts w:ascii="Times New Roman" w:hAnsi="Times New Roman"/>
          <w:sz w:val="24"/>
          <w:szCs w:val="24"/>
        </w:rPr>
        <w:t xml:space="preserve">also </w:t>
      </w:r>
      <w:r w:rsidR="006D39D9" w:rsidRPr="00202E42">
        <w:rPr>
          <w:rFonts w:ascii="Times New Roman" w:hAnsi="Times New Roman"/>
          <w:sz w:val="24"/>
          <w:szCs w:val="24"/>
        </w:rPr>
        <w:t xml:space="preserve">represent an alternative to the vast majority of such studies having to be submitted to the HRCDC. </w:t>
      </w:r>
    </w:p>
    <w:p w:rsidR="00B417E2" w:rsidRPr="00202E42" w:rsidRDefault="00AA5717" w:rsidP="00202E42">
      <w:pPr>
        <w:rPr>
          <w:rFonts w:ascii="Times New Roman" w:hAnsi="Times New Roman"/>
          <w:sz w:val="24"/>
          <w:szCs w:val="24"/>
        </w:rPr>
      </w:pPr>
      <w:r w:rsidRPr="00202E42">
        <w:rPr>
          <w:rFonts w:ascii="Times New Roman" w:hAnsi="Times New Roman"/>
          <w:sz w:val="24"/>
          <w:szCs w:val="24"/>
        </w:rPr>
        <w:t>-</w:t>
      </w:r>
      <w:r w:rsidR="00CE62FE" w:rsidRPr="00202E42">
        <w:rPr>
          <w:rFonts w:ascii="Times New Roman" w:hAnsi="Times New Roman"/>
          <w:sz w:val="24"/>
          <w:szCs w:val="24"/>
        </w:rPr>
        <w:t>An amendment which seeks to p</w:t>
      </w:r>
      <w:r w:rsidR="00B417E2" w:rsidRPr="00202E42">
        <w:rPr>
          <w:rFonts w:ascii="Times New Roman" w:hAnsi="Times New Roman"/>
          <w:sz w:val="24"/>
          <w:szCs w:val="24"/>
        </w:rPr>
        <w:t>rovid</w:t>
      </w:r>
      <w:r w:rsidR="00CE62FE" w:rsidRPr="00202E42">
        <w:rPr>
          <w:rFonts w:ascii="Times New Roman" w:hAnsi="Times New Roman"/>
          <w:sz w:val="24"/>
          <w:szCs w:val="24"/>
        </w:rPr>
        <w:t>e</w:t>
      </w:r>
      <w:r w:rsidR="00B417E2" w:rsidRPr="00202E42">
        <w:rPr>
          <w:rFonts w:ascii="Times New Roman" w:hAnsi="Times New Roman"/>
          <w:sz w:val="24"/>
          <w:szCs w:val="24"/>
        </w:rPr>
        <w:t xml:space="preserve"> greater clarity regarding </w:t>
      </w:r>
      <w:r w:rsidRPr="00202E42">
        <w:rPr>
          <w:rFonts w:ascii="Times New Roman" w:hAnsi="Times New Roman"/>
          <w:b/>
          <w:sz w:val="24"/>
          <w:szCs w:val="24"/>
        </w:rPr>
        <w:t>pre-screening</w:t>
      </w:r>
      <w:r w:rsidRPr="00202E42">
        <w:rPr>
          <w:rFonts w:ascii="Times New Roman" w:hAnsi="Times New Roman"/>
          <w:sz w:val="24"/>
          <w:szCs w:val="24"/>
        </w:rPr>
        <w:t xml:space="preserve"> for </w:t>
      </w:r>
      <w:r w:rsidR="00CE62FE" w:rsidRPr="00202E42">
        <w:rPr>
          <w:rFonts w:ascii="Times New Roman" w:hAnsi="Times New Roman"/>
          <w:sz w:val="24"/>
          <w:szCs w:val="24"/>
        </w:rPr>
        <w:t xml:space="preserve">assessing eligibility and </w:t>
      </w:r>
      <w:r w:rsidRPr="00202E42">
        <w:rPr>
          <w:rFonts w:ascii="Times New Roman" w:hAnsi="Times New Roman"/>
          <w:sz w:val="24"/>
          <w:szCs w:val="24"/>
        </w:rPr>
        <w:t>suitability of individuals for inclusion in health research</w:t>
      </w:r>
      <w:r w:rsidR="00B417E2" w:rsidRPr="00202E42">
        <w:rPr>
          <w:rFonts w:ascii="Times New Roman" w:hAnsi="Times New Roman"/>
          <w:sz w:val="24"/>
          <w:szCs w:val="24"/>
        </w:rPr>
        <w:t xml:space="preserve">. The current position </w:t>
      </w:r>
      <w:r w:rsidR="00CE62FE" w:rsidRPr="00202E42">
        <w:rPr>
          <w:rFonts w:ascii="Times New Roman" w:hAnsi="Times New Roman"/>
          <w:sz w:val="24"/>
          <w:szCs w:val="24"/>
        </w:rPr>
        <w:t>a</w:t>
      </w:r>
      <w:r w:rsidR="00B417E2" w:rsidRPr="00202E42">
        <w:rPr>
          <w:rFonts w:ascii="Times New Roman" w:hAnsi="Times New Roman"/>
          <w:sz w:val="24"/>
          <w:szCs w:val="24"/>
        </w:rPr>
        <w:t xml:space="preserve">s set out in Regulation 3 (2)(b) has led to confusion.  If accepted, the amended HRR will state explicitly that healthcare staff involved in the care and treatment of individuals and other employees of the data controller organisation with a duty of confidentiality can </w:t>
      </w:r>
      <w:r w:rsidR="00202E42">
        <w:rPr>
          <w:rFonts w:ascii="Times New Roman" w:hAnsi="Times New Roman"/>
          <w:sz w:val="24"/>
          <w:szCs w:val="24"/>
        </w:rPr>
        <w:t>engage in pre</w:t>
      </w:r>
      <w:r w:rsidR="00C63887">
        <w:rPr>
          <w:rFonts w:ascii="Times New Roman" w:hAnsi="Times New Roman"/>
          <w:sz w:val="24"/>
          <w:szCs w:val="24"/>
        </w:rPr>
        <w:t>-</w:t>
      </w:r>
      <w:r w:rsidR="00202E42">
        <w:rPr>
          <w:rFonts w:ascii="Times New Roman" w:hAnsi="Times New Roman"/>
          <w:sz w:val="24"/>
          <w:szCs w:val="24"/>
        </w:rPr>
        <w:t>screening</w:t>
      </w:r>
      <w:r w:rsidR="00B417E2" w:rsidRPr="00202E42">
        <w:rPr>
          <w:rFonts w:ascii="Times New Roman" w:hAnsi="Times New Roman"/>
          <w:sz w:val="24"/>
          <w:szCs w:val="24"/>
        </w:rPr>
        <w:t xml:space="preserve"> without </w:t>
      </w:r>
      <w:r w:rsidR="00CE62FE" w:rsidRPr="00202E42">
        <w:rPr>
          <w:rFonts w:ascii="Times New Roman" w:hAnsi="Times New Roman"/>
          <w:sz w:val="24"/>
          <w:szCs w:val="24"/>
        </w:rPr>
        <w:t xml:space="preserve">the </w:t>
      </w:r>
      <w:r w:rsidR="00B417E2" w:rsidRPr="00202E42">
        <w:rPr>
          <w:rFonts w:ascii="Times New Roman" w:hAnsi="Times New Roman"/>
          <w:sz w:val="24"/>
          <w:szCs w:val="24"/>
        </w:rPr>
        <w:t xml:space="preserve">explicit consent of the individuals concerned. In addition, drawing on approaches which evolved over time in other jurisdictions, </w:t>
      </w:r>
      <w:r w:rsidR="00765D71" w:rsidRPr="00202E42">
        <w:rPr>
          <w:rFonts w:ascii="Times New Roman" w:hAnsi="Times New Roman"/>
          <w:sz w:val="24"/>
          <w:szCs w:val="24"/>
        </w:rPr>
        <w:t xml:space="preserve">the amendment under discussion will </w:t>
      </w:r>
      <w:r w:rsidR="00CE62FE" w:rsidRPr="00202E42">
        <w:rPr>
          <w:rFonts w:ascii="Times New Roman" w:hAnsi="Times New Roman"/>
          <w:sz w:val="24"/>
          <w:szCs w:val="24"/>
        </w:rPr>
        <w:t xml:space="preserve">go further and </w:t>
      </w:r>
      <w:r w:rsidR="00765D71" w:rsidRPr="00202E42">
        <w:rPr>
          <w:rFonts w:ascii="Times New Roman" w:hAnsi="Times New Roman"/>
          <w:sz w:val="24"/>
          <w:szCs w:val="24"/>
        </w:rPr>
        <w:t xml:space="preserve">set out a mechanism </w:t>
      </w:r>
      <w:r w:rsidR="008E04C2">
        <w:rPr>
          <w:rFonts w:ascii="Times New Roman" w:hAnsi="Times New Roman"/>
          <w:sz w:val="24"/>
          <w:szCs w:val="24"/>
        </w:rPr>
        <w:t>which could</w:t>
      </w:r>
      <w:r w:rsidR="00765D71" w:rsidRPr="00202E42">
        <w:rPr>
          <w:rFonts w:ascii="Times New Roman" w:hAnsi="Times New Roman"/>
          <w:sz w:val="24"/>
          <w:szCs w:val="24"/>
        </w:rPr>
        <w:t xml:space="preserve"> facilitate other “approved” researchers to engage in pre-screening subject to a number of safeguards.</w:t>
      </w:r>
    </w:p>
    <w:p w:rsidR="00CE62FE" w:rsidRPr="00202E42" w:rsidRDefault="00AA5717" w:rsidP="00202E42">
      <w:pPr>
        <w:rPr>
          <w:rFonts w:ascii="Times New Roman" w:hAnsi="Times New Roman"/>
          <w:sz w:val="24"/>
          <w:szCs w:val="24"/>
        </w:rPr>
      </w:pPr>
      <w:r w:rsidRPr="00202E42">
        <w:rPr>
          <w:rFonts w:ascii="Times New Roman" w:hAnsi="Times New Roman"/>
          <w:sz w:val="24"/>
          <w:szCs w:val="24"/>
        </w:rPr>
        <w:t>-</w:t>
      </w:r>
      <w:r w:rsidR="00CE62FE" w:rsidRPr="00202E42">
        <w:rPr>
          <w:rFonts w:ascii="Times New Roman" w:hAnsi="Times New Roman"/>
          <w:sz w:val="24"/>
          <w:szCs w:val="24"/>
        </w:rPr>
        <w:t xml:space="preserve">An amendment which seeks to </w:t>
      </w:r>
      <w:r w:rsidRPr="00202E42">
        <w:rPr>
          <w:rFonts w:ascii="Times New Roman" w:hAnsi="Times New Roman"/>
          <w:sz w:val="24"/>
          <w:szCs w:val="24"/>
        </w:rPr>
        <w:t xml:space="preserve">address the challenge of explicit consent </w:t>
      </w:r>
      <w:r w:rsidR="00CE62FE" w:rsidRPr="00202E42">
        <w:rPr>
          <w:rFonts w:ascii="Times New Roman" w:hAnsi="Times New Roman"/>
          <w:sz w:val="24"/>
          <w:szCs w:val="24"/>
        </w:rPr>
        <w:t xml:space="preserve">versus “deferred” consent </w:t>
      </w:r>
      <w:r w:rsidRPr="00202E42">
        <w:rPr>
          <w:rFonts w:ascii="Times New Roman" w:hAnsi="Times New Roman"/>
          <w:sz w:val="24"/>
          <w:szCs w:val="24"/>
        </w:rPr>
        <w:t xml:space="preserve">in </w:t>
      </w:r>
      <w:r w:rsidRPr="00202E42">
        <w:rPr>
          <w:rFonts w:ascii="Times New Roman" w:hAnsi="Times New Roman"/>
          <w:b/>
          <w:sz w:val="24"/>
          <w:szCs w:val="24"/>
        </w:rPr>
        <w:t>emergency care intervention studies</w:t>
      </w:r>
      <w:r w:rsidR="00CE62FE" w:rsidRPr="00202E42">
        <w:rPr>
          <w:rFonts w:ascii="Times New Roman" w:hAnsi="Times New Roman"/>
          <w:sz w:val="24"/>
          <w:szCs w:val="24"/>
        </w:rPr>
        <w:t xml:space="preserve">. </w:t>
      </w:r>
    </w:p>
    <w:p w:rsidR="00AA5717" w:rsidRPr="00202E42" w:rsidRDefault="00AA5717" w:rsidP="00202E42">
      <w:pPr>
        <w:spacing w:after="300"/>
        <w:rPr>
          <w:rFonts w:ascii="Times New Roman" w:eastAsia="Times New Roman" w:hAnsi="Times New Roman"/>
          <w:sz w:val="24"/>
          <w:szCs w:val="24"/>
          <w:lang w:eastAsia="en-IE"/>
        </w:rPr>
      </w:pPr>
      <w:r w:rsidRPr="00202E42">
        <w:rPr>
          <w:rFonts w:ascii="Times New Roman" w:hAnsi="Times New Roman"/>
          <w:sz w:val="24"/>
          <w:szCs w:val="24"/>
        </w:rPr>
        <w:t>-</w:t>
      </w:r>
      <w:r w:rsidR="00CE62FE" w:rsidRPr="00202E42">
        <w:rPr>
          <w:rFonts w:ascii="Times New Roman" w:hAnsi="Times New Roman"/>
          <w:sz w:val="24"/>
          <w:szCs w:val="24"/>
        </w:rPr>
        <w:t xml:space="preserve">An amendment aimed at </w:t>
      </w:r>
      <w:r w:rsidRPr="00202E42">
        <w:rPr>
          <w:rFonts w:ascii="Times New Roman" w:hAnsi="Times New Roman"/>
          <w:sz w:val="24"/>
          <w:szCs w:val="24"/>
        </w:rPr>
        <w:t xml:space="preserve">finding a workable basis for the processing of personal data for health research </w:t>
      </w:r>
      <w:r w:rsidRPr="00202E42">
        <w:rPr>
          <w:rFonts w:ascii="Times New Roman" w:hAnsi="Times New Roman"/>
          <w:b/>
          <w:sz w:val="24"/>
          <w:szCs w:val="24"/>
        </w:rPr>
        <w:t>where an adult lacks capacity to consent</w:t>
      </w:r>
      <w:r w:rsidR="00CE62FE" w:rsidRPr="00202E42">
        <w:rPr>
          <w:rFonts w:ascii="Times New Roman" w:hAnsi="Times New Roman"/>
          <w:sz w:val="24"/>
          <w:szCs w:val="24"/>
        </w:rPr>
        <w:t>.</w:t>
      </w:r>
      <w:r w:rsidR="00CE62FE" w:rsidRPr="00202E42">
        <w:rPr>
          <w:rFonts w:ascii="Times New Roman" w:eastAsia="Times New Roman" w:hAnsi="Times New Roman"/>
          <w:sz w:val="24"/>
          <w:szCs w:val="24"/>
          <w:lang w:eastAsia="en-IE"/>
        </w:rPr>
        <w:t xml:space="preserve"> The Department is of the view that the requirement for explicit consent in the case of someone who lacks capacity to consent means that the very people who might benefit from particular research studies will not be able to allow their personal data to be used for such research and that is not consistent with public policy and the values underpinning a patient centred health system. An </w:t>
      </w:r>
      <w:r w:rsidR="00202E42" w:rsidRPr="00202E42">
        <w:rPr>
          <w:rFonts w:ascii="Times New Roman" w:eastAsia="Times New Roman" w:hAnsi="Times New Roman"/>
          <w:sz w:val="24"/>
          <w:szCs w:val="24"/>
          <w:lang w:eastAsia="en-IE"/>
        </w:rPr>
        <w:t>a</w:t>
      </w:r>
      <w:r w:rsidR="00CE62FE" w:rsidRPr="00202E42">
        <w:rPr>
          <w:rFonts w:ascii="Times New Roman" w:eastAsia="Times New Roman" w:hAnsi="Times New Roman"/>
          <w:sz w:val="24"/>
          <w:szCs w:val="24"/>
          <w:lang w:eastAsia="en-IE"/>
        </w:rPr>
        <w:t xml:space="preserve">mendment has </w:t>
      </w:r>
      <w:r w:rsidR="008E04C2">
        <w:rPr>
          <w:rFonts w:ascii="Times New Roman" w:eastAsia="Times New Roman" w:hAnsi="Times New Roman"/>
          <w:sz w:val="24"/>
          <w:szCs w:val="24"/>
          <w:lang w:eastAsia="en-IE"/>
        </w:rPr>
        <w:t xml:space="preserve">therefore </w:t>
      </w:r>
      <w:r w:rsidR="00CE62FE" w:rsidRPr="00202E42">
        <w:rPr>
          <w:rFonts w:ascii="Times New Roman" w:eastAsia="Times New Roman" w:hAnsi="Times New Roman"/>
          <w:sz w:val="24"/>
          <w:szCs w:val="24"/>
          <w:lang w:eastAsia="en-IE"/>
        </w:rPr>
        <w:t>been prepared reflect</w:t>
      </w:r>
      <w:r w:rsidR="008E04C2">
        <w:rPr>
          <w:rFonts w:ascii="Times New Roman" w:eastAsia="Times New Roman" w:hAnsi="Times New Roman"/>
          <w:sz w:val="24"/>
          <w:szCs w:val="24"/>
          <w:lang w:eastAsia="en-IE"/>
        </w:rPr>
        <w:t>ing</w:t>
      </w:r>
      <w:r w:rsidR="00CE62FE" w:rsidRPr="00202E42">
        <w:rPr>
          <w:rFonts w:ascii="Times New Roman" w:eastAsia="Times New Roman" w:hAnsi="Times New Roman"/>
          <w:sz w:val="24"/>
          <w:szCs w:val="24"/>
          <w:lang w:eastAsia="en-IE"/>
        </w:rPr>
        <w:t xml:space="preserve"> the core principles set out in the Assisted Decision-Making (Capacity) Act 2015 and the HSE National Consent Policy</w:t>
      </w:r>
      <w:r w:rsidR="00202E42" w:rsidRPr="00202E42">
        <w:rPr>
          <w:rFonts w:ascii="Times New Roman" w:eastAsia="Times New Roman" w:hAnsi="Times New Roman"/>
          <w:sz w:val="24"/>
          <w:szCs w:val="24"/>
          <w:lang w:eastAsia="en-IE"/>
        </w:rPr>
        <w:t>.</w:t>
      </w:r>
    </w:p>
    <w:p w:rsidR="00AA5717" w:rsidRPr="00202E42" w:rsidRDefault="00202E42" w:rsidP="00202E42">
      <w:pPr>
        <w:rPr>
          <w:rFonts w:ascii="Times New Roman" w:hAnsi="Times New Roman"/>
          <w:sz w:val="24"/>
          <w:szCs w:val="24"/>
          <w:u w:val="single"/>
        </w:rPr>
      </w:pPr>
      <w:r w:rsidRPr="00202E42">
        <w:rPr>
          <w:rFonts w:ascii="Times New Roman" w:hAnsi="Times New Roman"/>
          <w:sz w:val="24"/>
          <w:szCs w:val="24"/>
          <w:u w:val="single"/>
        </w:rPr>
        <w:t>Next Steps</w:t>
      </w:r>
    </w:p>
    <w:p w:rsidR="00E96506" w:rsidRPr="00202E42" w:rsidRDefault="00202E42" w:rsidP="00202E42">
      <w:pPr>
        <w:rPr>
          <w:rFonts w:ascii="Times New Roman" w:hAnsi="Times New Roman"/>
          <w:sz w:val="24"/>
          <w:szCs w:val="24"/>
        </w:rPr>
      </w:pPr>
      <w:r w:rsidRPr="00202E42">
        <w:rPr>
          <w:rFonts w:ascii="Times New Roman" w:hAnsi="Times New Roman"/>
          <w:sz w:val="24"/>
          <w:szCs w:val="24"/>
        </w:rPr>
        <w:t>It should be noted that the process of making any amendments to the Health Research Regulations requires, by law, formal consultations not only with the Data Protection Commission but also the Department of Justice and Equality to ensure that anything contemplated is consistent with the Data Protection Act 2018.  The Attorney-General’s Office is also directly involved to ensure any proposed amendments would be properly drafted and legally sound.</w:t>
      </w:r>
      <w:r>
        <w:rPr>
          <w:rFonts w:ascii="Times New Roman" w:hAnsi="Times New Roman"/>
          <w:sz w:val="24"/>
          <w:szCs w:val="24"/>
        </w:rPr>
        <w:t xml:space="preserve"> </w:t>
      </w:r>
      <w:r w:rsidR="004421B0" w:rsidRPr="00202E42">
        <w:rPr>
          <w:rFonts w:ascii="Times New Roman" w:hAnsi="Times New Roman"/>
          <w:sz w:val="24"/>
          <w:szCs w:val="24"/>
        </w:rPr>
        <w:t xml:space="preserve">Equally, </w:t>
      </w:r>
      <w:r w:rsidR="001B02D7" w:rsidRPr="00202E42">
        <w:rPr>
          <w:rFonts w:ascii="Times New Roman" w:hAnsi="Times New Roman"/>
          <w:sz w:val="24"/>
          <w:szCs w:val="24"/>
        </w:rPr>
        <w:t xml:space="preserve">amendments </w:t>
      </w:r>
      <w:r w:rsidR="004421B0" w:rsidRPr="00202E42">
        <w:rPr>
          <w:rFonts w:ascii="Times New Roman" w:hAnsi="Times New Roman"/>
          <w:sz w:val="24"/>
          <w:szCs w:val="24"/>
        </w:rPr>
        <w:t>may not be sound or feasible</w:t>
      </w:r>
      <w:r w:rsidR="00FD4C1D" w:rsidRPr="00202E42">
        <w:rPr>
          <w:rFonts w:ascii="Times New Roman" w:hAnsi="Times New Roman"/>
          <w:sz w:val="24"/>
          <w:szCs w:val="24"/>
        </w:rPr>
        <w:t xml:space="preserve"> or alternatives approaches might emerge.</w:t>
      </w:r>
      <w:r w:rsidR="004421B0" w:rsidRPr="00202E42">
        <w:rPr>
          <w:rFonts w:ascii="Times New Roman" w:hAnsi="Times New Roman"/>
          <w:sz w:val="24"/>
          <w:szCs w:val="24"/>
        </w:rPr>
        <w:t xml:space="preserve"> </w:t>
      </w:r>
    </w:p>
    <w:p w:rsidR="00202E42" w:rsidRPr="00202E42" w:rsidRDefault="00202E42" w:rsidP="00202E42">
      <w:pPr>
        <w:rPr>
          <w:rFonts w:ascii="Times New Roman" w:hAnsi="Times New Roman"/>
          <w:sz w:val="24"/>
          <w:szCs w:val="24"/>
        </w:rPr>
      </w:pPr>
      <w:r w:rsidRPr="00202E42">
        <w:rPr>
          <w:rFonts w:ascii="Times New Roman" w:hAnsi="Times New Roman"/>
          <w:sz w:val="24"/>
          <w:szCs w:val="24"/>
        </w:rPr>
        <w:t xml:space="preserve">The Department will keep the research community informed </w:t>
      </w:r>
      <w:r>
        <w:rPr>
          <w:rFonts w:ascii="Times New Roman" w:hAnsi="Times New Roman"/>
          <w:sz w:val="24"/>
          <w:szCs w:val="24"/>
        </w:rPr>
        <w:t xml:space="preserve">as a matter of urgency </w:t>
      </w:r>
      <w:r w:rsidRPr="00202E42">
        <w:rPr>
          <w:rFonts w:ascii="Times New Roman" w:hAnsi="Times New Roman"/>
          <w:sz w:val="24"/>
          <w:szCs w:val="24"/>
        </w:rPr>
        <w:t>through the HRCDC website</w:t>
      </w:r>
      <w:r>
        <w:rPr>
          <w:rFonts w:ascii="Times New Roman" w:hAnsi="Times New Roman"/>
          <w:sz w:val="24"/>
          <w:szCs w:val="24"/>
        </w:rPr>
        <w:t>.</w:t>
      </w:r>
    </w:p>
    <w:p w:rsidR="00814B8C" w:rsidRPr="00202E42" w:rsidRDefault="00202E42" w:rsidP="00202E42">
      <w:pPr>
        <w:rPr>
          <w:rFonts w:ascii="Times New Roman" w:hAnsi="Times New Roman"/>
          <w:sz w:val="24"/>
          <w:szCs w:val="24"/>
        </w:rPr>
      </w:pPr>
      <w:r>
        <w:rPr>
          <w:rFonts w:ascii="Times New Roman" w:hAnsi="Times New Roman"/>
          <w:sz w:val="24"/>
          <w:szCs w:val="24"/>
        </w:rPr>
        <w:t xml:space="preserve"> 8 </w:t>
      </w:r>
      <w:r w:rsidR="00814B8C" w:rsidRPr="00202E42">
        <w:rPr>
          <w:rFonts w:ascii="Times New Roman" w:hAnsi="Times New Roman"/>
          <w:sz w:val="24"/>
          <w:szCs w:val="24"/>
        </w:rPr>
        <w:t xml:space="preserve">April 2019 </w:t>
      </w:r>
    </w:p>
    <w:sectPr w:rsidR="00814B8C" w:rsidRPr="00202E4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D9C" w:rsidRDefault="00751D9C" w:rsidP="00044895">
      <w:pPr>
        <w:spacing w:after="0" w:line="240" w:lineRule="auto"/>
      </w:pPr>
      <w:r>
        <w:separator/>
      </w:r>
    </w:p>
  </w:endnote>
  <w:endnote w:type="continuationSeparator" w:id="0">
    <w:p w:rsidR="00751D9C" w:rsidRDefault="00751D9C" w:rsidP="00044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D9C" w:rsidRDefault="00751D9C" w:rsidP="00044895">
      <w:pPr>
        <w:spacing w:after="0" w:line="240" w:lineRule="auto"/>
      </w:pPr>
      <w:r>
        <w:separator/>
      </w:r>
    </w:p>
  </w:footnote>
  <w:footnote w:type="continuationSeparator" w:id="0">
    <w:p w:rsidR="00751D9C" w:rsidRDefault="00751D9C" w:rsidP="000448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968BD"/>
    <w:multiLevelType w:val="hybridMultilevel"/>
    <w:tmpl w:val="EDDA75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B424FB3"/>
    <w:multiLevelType w:val="hybridMultilevel"/>
    <w:tmpl w:val="7C7C1DAC"/>
    <w:lvl w:ilvl="0" w:tplc="98683DC8">
      <w:start w:val="1"/>
      <w:numFmt w:val="bullet"/>
      <w:lvlText w:val="•"/>
      <w:lvlJc w:val="left"/>
      <w:pPr>
        <w:tabs>
          <w:tab w:val="num" w:pos="720"/>
        </w:tabs>
        <w:ind w:left="720" w:hanging="360"/>
      </w:pPr>
      <w:rPr>
        <w:rFonts w:ascii="Arial" w:hAnsi="Arial" w:hint="default"/>
      </w:rPr>
    </w:lvl>
    <w:lvl w:ilvl="1" w:tplc="88ACB412" w:tentative="1">
      <w:start w:val="1"/>
      <w:numFmt w:val="bullet"/>
      <w:lvlText w:val="•"/>
      <w:lvlJc w:val="left"/>
      <w:pPr>
        <w:tabs>
          <w:tab w:val="num" w:pos="1440"/>
        </w:tabs>
        <w:ind w:left="1440" w:hanging="360"/>
      </w:pPr>
      <w:rPr>
        <w:rFonts w:ascii="Arial" w:hAnsi="Arial" w:hint="default"/>
      </w:rPr>
    </w:lvl>
    <w:lvl w:ilvl="2" w:tplc="B596EC62" w:tentative="1">
      <w:start w:val="1"/>
      <w:numFmt w:val="bullet"/>
      <w:lvlText w:val="•"/>
      <w:lvlJc w:val="left"/>
      <w:pPr>
        <w:tabs>
          <w:tab w:val="num" w:pos="2160"/>
        </w:tabs>
        <w:ind w:left="2160" w:hanging="360"/>
      </w:pPr>
      <w:rPr>
        <w:rFonts w:ascii="Arial" w:hAnsi="Arial" w:hint="default"/>
      </w:rPr>
    </w:lvl>
    <w:lvl w:ilvl="3" w:tplc="05DC1376" w:tentative="1">
      <w:start w:val="1"/>
      <w:numFmt w:val="bullet"/>
      <w:lvlText w:val="•"/>
      <w:lvlJc w:val="left"/>
      <w:pPr>
        <w:tabs>
          <w:tab w:val="num" w:pos="2880"/>
        </w:tabs>
        <w:ind w:left="2880" w:hanging="360"/>
      </w:pPr>
      <w:rPr>
        <w:rFonts w:ascii="Arial" w:hAnsi="Arial" w:hint="default"/>
      </w:rPr>
    </w:lvl>
    <w:lvl w:ilvl="4" w:tplc="EA2421EC" w:tentative="1">
      <w:start w:val="1"/>
      <w:numFmt w:val="bullet"/>
      <w:lvlText w:val="•"/>
      <w:lvlJc w:val="left"/>
      <w:pPr>
        <w:tabs>
          <w:tab w:val="num" w:pos="3600"/>
        </w:tabs>
        <w:ind w:left="3600" w:hanging="360"/>
      </w:pPr>
      <w:rPr>
        <w:rFonts w:ascii="Arial" w:hAnsi="Arial" w:hint="default"/>
      </w:rPr>
    </w:lvl>
    <w:lvl w:ilvl="5" w:tplc="BAD88A1A" w:tentative="1">
      <w:start w:val="1"/>
      <w:numFmt w:val="bullet"/>
      <w:lvlText w:val="•"/>
      <w:lvlJc w:val="left"/>
      <w:pPr>
        <w:tabs>
          <w:tab w:val="num" w:pos="4320"/>
        </w:tabs>
        <w:ind w:left="4320" w:hanging="360"/>
      </w:pPr>
      <w:rPr>
        <w:rFonts w:ascii="Arial" w:hAnsi="Arial" w:hint="default"/>
      </w:rPr>
    </w:lvl>
    <w:lvl w:ilvl="6" w:tplc="AC8C117E" w:tentative="1">
      <w:start w:val="1"/>
      <w:numFmt w:val="bullet"/>
      <w:lvlText w:val="•"/>
      <w:lvlJc w:val="left"/>
      <w:pPr>
        <w:tabs>
          <w:tab w:val="num" w:pos="5040"/>
        </w:tabs>
        <w:ind w:left="5040" w:hanging="360"/>
      </w:pPr>
      <w:rPr>
        <w:rFonts w:ascii="Arial" w:hAnsi="Arial" w:hint="default"/>
      </w:rPr>
    </w:lvl>
    <w:lvl w:ilvl="7" w:tplc="8AAC6FE6" w:tentative="1">
      <w:start w:val="1"/>
      <w:numFmt w:val="bullet"/>
      <w:lvlText w:val="•"/>
      <w:lvlJc w:val="left"/>
      <w:pPr>
        <w:tabs>
          <w:tab w:val="num" w:pos="5760"/>
        </w:tabs>
        <w:ind w:left="5760" w:hanging="360"/>
      </w:pPr>
      <w:rPr>
        <w:rFonts w:ascii="Arial" w:hAnsi="Arial" w:hint="default"/>
      </w:rPr>
    </w:lvl>
    <w:lvl w:ilvl="8" w:tplc="4CB89450" w:tentative="1">
      <w:start w:val="1"/>
      <w:numFmt w:val="bullet"/>
      <w:lvlText w:val="•"/>
      <w:lvlJc w:val="left"/>
      <w:pPr>
        <w:tabs>
          <w:tab w:val="num" w:pos="6480"/>
        </w:tabs>
        <w:ind w:left="6480" w:hanging="360"/>
      </w:pPr>
      <w:rPr>
        <w:rFonts w:ascii="Arial" w:hAnsi="Arial" w:hint="default"/>
      </w:rPr>
    </w:lvl>
  </w:abstractNum>
  <w:abstractNum w:abstractNumId="2">
    <w:nsid w:val="2E367C4A"/>
    <w:multiLevelType w:val="hybridMultilevel"/>
    <w:tmpl w:val="08AC02F6"/>
    <w:lvl w:ilvl="0" w:tplc="D28CCDB6">
      <w:start w:val="1"/>
      <w:numFmt w:val="bullet"/>
      <w:lvlText w:val="–"/>
      <w:lvlJc w:val="left"/>
      <w:pPr>
        <w:tabs>
          <w:tab w:val="num" w:pos="720"/>
        </w:tabs>
        <w:ind w:left="720" w:hanging="360"/>
      </w:pPr>
      <w:rPr>
        <w:rFonts w:ascii="Arial" w:hAnsi="Arial" w:hint="default"/>
      </w:rPr>
    </w:lvl>
    <w:lvl w:ilvl="1" w:tplc="79E2509E">
      <w:start w:val="1"/>
      <w:numFmt w:val="bullet"/>
      <w:lvlText w:val="–"/>
      <w:lvlJc w:val="left"/>
      <w:pPr>
        <w:tabs>
          <w:tab w:val="num" w:pos="1440"/>
        </w:tabs>
        <w:ind w:left="1440" w:hanging="360"/>
      </w:pPr>
      <w:rPr>
        <w:rFonts w:ascii="Arial" w:hAnsi="Arial" w:hint="default"/>
      </w:rPr>
    </w:lvl>
    <w:lvl w:ilvl="2" w:tplc="10A4D3E8" w:tentative="1">
      <w:start w:val="1"/>
      <w:numFmt w:val="bullet"/>
      <w:lvlText w:val="–"/>
      <w:lvlJc w:val="left"/>
      <w:pPr>
        <w:tabs>
          <w:tab w:val="num" w:pos="2160"/>
        </w:tabs>
        <w:ind w:left="2160" w:hanging="360"/>
      </w:pPr>
      <w:rPr>
        <w:rFonts w:ascii="Arial" w:hAnsi="Arial" w:hint="default"/>
      </w:rPr>
    </w:lvl>
    <w:lvl w:ilvl="3" w:tplc="1B64467A" w:tentative="1">
      <w:start w:val="1"/>
      <w:numFmt w:val="bullet"/>
      <w:lvlText w:val="–"/>
      <w:lvlJc w:val="left"/>
      <w:pPr>
        <w:tabs>
          <w:tab w:val="num" w:pos="2880"/>
        </w:tabs>
        <w:ind w:left="2880" w:hanging="360"/>
      </w:pPr>
      <w:rPr>
        <w:rFonts w:ascii="Arial" w:hAnsi="Arial" w:hint="default"/>
      </w:rPr>
    </w:lvl>
    <w:lvl w:ilvl="4" w:tplc="47C4A076" w:tentative="1">
      <w:start w:val="1"/>
      <w:numFmt w:val="bullet"/>
      <w:lvlText w:val="–"/>
      <w:lvlJc w:val="left"/>
      <w:pPr>
        <w:tabs>
          <w:tab w:val="num" w:pos="3600"/>
        </w:tabs>
        <w:ind w:left="3600" w:hanging="360"/>
      </w:pPr>
      <w:rPr>
        <w:rFonts w:ascii="Arial" w:hAnsi="Arial" w:hint="default"/>
      </w:rPr>
    </w:lvl>
    <w:lvl w:ilvl="5" w:tplc="7E5AE2F2" w:tentative="1">
      <w:start w:val="1"/>
      <w:numFmt w:val="bullet"/>
      <w:lvlText w:val="–"/>
      <w:lvlJc w:val="left"/>
      <w:pPr>
        <w:tabs>
          <w:tab w:val="num" w:pos="4320"/>
        </w:tabs>
        <w:ind w:left="4320" w:hanging="360"/>
      </w:pPr>
      <w:rPr>
        <w:rFonts w:ascii="Arial" w:hAnsi="Arial" w:hint="default"/>
      </w:rPr>
    </w:lvl>
    <w:lvl w:ilvl="6" w:tplc="DBCCA5D2" w:tentative="1">
      <w:start w:val="1"/>
      <w:numFmt w:val="bullet"/>
      <w:lvlText w:val="–"/>
      <w:lvlJc w:val="left"/>
      <w:pPr>
        <w:tabs>
          <w:tab w:val="num" w:pos="5040"/>
        </w:tabs>
        <w:ind w:left="5040" w:hanging="360"/>
      </w:pPr>
      <w:rPr>
        <w:rFonts w:ascii="Arial" w:hAnsi="Arial" w:hint="default"/>
      </w:rPr>
    </w:lvl>
    <w:lvl w:ilvl="7" w:tplc="D13C82DC" w:tentative="1">
      <w:start w:val="1"/>
      <w:numFmt w:val="bullet"/>
      <w:lvlText w:val="–"/>
      <w:lvlJc w:val="left"/>
      <w:pPr>
        <w:tabs>
          <w:tab w:val="num" w:pos="5760"/>
        </w:tabs>
        <w:ind w:left="5760" w:hanging="360"/>
      </w:pPr>
      <w:rPr>
        <w:rFonts w:ascii="Arial" w:hAnsi="Arial" w:hint="default"/>
      </w:rPr>
    </w:lvl>
    <w:lvl w:ilvl="8" w:tplc="A6161042" w:tentative="1">
      <w:start w:val="1"/>
      <w:numFmt w:val="bullet"/>
      <w:lvlText w:val="–"/>
      <w:lvlJc w:val="left"/>
      <w:pPr>
        <w:tabs>
          <w:tab w:val="num" w:pos="6480"/>
        </w:tabs>
        <w:ind w:left="6480" w:hanging="360"/>
      </w:pPr>
      <w:rPr>
        <w:rFonts w:ascii="Arial" w:hAnsi="Arial" w:hint="default"/>
      </w:rPr>
    </w:lvl>
  </w:abstractNum>
  <w:abstractNum w:abstractNumId="3">
    <w:nsid w:val="3EA21106"/>
    <w:multiLevelType w:val="hybridMultilevel"/>
    <w:tmpl w:val="8AB006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8C26ECE"/>
    <w:multiLevelType w:val="hybridMultilevel"/>
    <w:tmpl w:val="A2784F78"/>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nsid w:val="4BD310C9"/>
    <w:multiLevelType w:val="hybridMultilevel"/>
    <w:tmpl w:val="5ECA05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52C0608"/>
    <w:multiLevelType w:val="hybridMultilevel"/>
    <w:tmpl w:val="3C389F22"/>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nsid w:val="796972BD"/>
    <w:multiLevelType w:val="hybridMultilevel"/>
    <w:tmpl w:val="21C4E08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95"/>
    <w:rsid w:val="00044895"/>
    <w:rsid w:val="00067343"/>
    <w:rsid w:val="0007277C"/>
    <w:rsid w:val="00085A08"/>
    <w:rsid w:val="000C6EAD"/>
    <w:rsid w:val="000D7B72"/>
    <w:rsid w:val="000E475C"/>
    <w:rsid w:val="0013743F"/>
    <w:rsid w:val="00153437"/>
    <w:rsid w:val="00192CE4"/>
    <w:rsid w:val="001B02D7"/>
    <w:rsid w:val="001E7604"/>
    <w:rsid w:val="00200F92"/>
    <w:rsid w:val="00202E42"/>
    <w:rsid w:val="0025033E"/>
    <w:rsid w:val="002638A4"/>
    <w:rsid w:val="002A706E"/>
    <w:rsid w:val="002D3AF5"/>
    <w:rsid w:val="00300551"/>
    <w:rsid w:val="0032325C"/>
    <w:rsid w:val="00325D14"/>
    <w:rsid w:val="003B6C1B"/>
    <w:rsid w:val="003C4F2C"/>
    <w:rsid w:val="00411E88"/>
    <w:rsid w:val="004421B0"/>
    <w:rsid w:val="00475283"/>
    <w:rsid w:val="0049068D"/>
    <w:rsid w:val="00491AB6"/>
    <w:rsid w:val="0049455E"/>
    <w:rsid w:val="004E1EBA"/>
    <w:rsid w:val="005114B8"/>
    <w:rsid w:val="00513EBC"/>
    <w:rsid w:val="005523A1"/>
    <w:rsid w:val="005A7582"/>
    <w:rsid w:val="005C3341"/>
    <w:rsid w:val="005E4E29"/>
    <w:rsid w:val="005F0BA2"/>
    <w:rsid w:val="006041D0"/>
    <w:rsid w:val="00613701"/>
    <w:rsid w:val="00627409"/>
    <w:rsid w:val="00627F1C"/>
    <w:rsid w:val="0063034A"/>
    <w:rsid w:val="00694243"/>
    <w:rsid w:val="006D39D9"/>
    <w:rsid w:val="00751D9C"/>
    <w:rsid w:val="00765D71"/>
    <w:rsid w:val="007C291E"/>
    <w:rsid w:val="00814B8C"/>
    <w:rsid w:val="008150DE"/>
    <w:rsid w:val="00841487"/>
    <w:rsid w:val="008A078A"/>
    <w:rsid w:val="008C4A1E"/>
    <w:rsid w:val="008E04C2"/>
    <w:rsid w:val="008F32FA"/>
    <w:rsid w:val="00924B1A"/>
    <w:rsid w:val="00954E60"/>
    <w:rsid w:val="009760AB"/>
    <w:rsid w:val="009A3B83"/>
    <w:rsid w:val="009B398E"/>
    <w:rsid w:val="009E31A4"/>
    <w:rsid w:val="00A1604A"/>
    <w:rsid w:val="00A90CF4"/>
    <w:rsid w:val="00AA5717"/>
    <w:rsid w:val="00AB0A55"/>
    <w:rsid w:val="00B27FB9"/>
    <w:rsid w:val="00B417E2"/>
    <w:rsid w:val="00B6468F"/>
    <w:rsid w:val="00B823C7"/>
    <w:rsid w:val="00BA6E5C"/>
    <w:rsid w:val="00BC29B5"/>
    <w:rsid w:val="00BD3999"/>
    <w:rsid w:val="00C33B6C"/>
    <w:rsid w:val="00C4768F"/>
    <w:rsid w:val="00C522D7"/>
    <w:rsid w:val="00C55CDB"/>
    <w:rsid w:val="00C63887"/>
    <w:rsid w:val="00CC458F"/>
    <w:rsid w:val="00CD1A10"/>
    <w:rsid w:val="00CE62FE"/>
    <w:rsid w:val="00D14464"/>
    <w:rsid w:val="00D60281"/>
    <w:rsid w:val="00D76094"/>
    <w:rsid w:val="00D92C56"/>
    <w:rsid w:val="00DD3ABE"/>
    <w:rsid w:val="00DE26B7"/>
    <w:rsid w:val="00E35553"/>
    <w:rsid w:val="00E8727B"/>
    <w:rsid w:val="00E96506"/>
    <w:rsid w:val="00EB0779"/>
    <w:rsid w:val="00EC0390"/>
    <w:rsid w:val="00EC206D"/>
    <w:rsid w:val="00F07E58"/>
    <w:rsid w:val="00F13524"/>
    <w:rsid w:val="00F14D03"/>
    <w:rsid w:val="00F82A9B"/>
    <w:rsid w:val="00FA1C13"/>
    <w:rsid w:val="00FA269A"/>
    <w:rsid w:val="00FD4C1D"/>
    <w:rsid w:val="00FE07CC"/>
    <w:rsid w:val="00FE334F"/>
    <w:rsid w:val="00FF64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895"/>
    <w:rPr>
      <w:rFonts w:ascii="Calibri" w:eastAsia="Calibri" w:hAnsi="Calibri" w:cs="Times New Roman"/>
    </w:rPr>
  </w:style>
  <w:style w:type="paragraph" w:styleId="Heading4">
    <w:name w:val="heading 4"/>
    <w:basedOn w:val="Normal"/>
    <w:link w:val="Heading4Char"/>
    <w:uiPriority w:val="9"/>
    <w:qFormat/>
    <w:rsid w:val="00200F92"/>
    <w:pPr>
      <w:spacing w:before="100" w:beforeAutospacing="1" w:after="100" w:afterAutospacing="1" w:line="240" w:lineRule="auto"/>
      <w:outlineLvl w:val="3"/>
    </w:pPr>
    <w:rPr>
      <w:rFonts w:ascii="Times New Roman" w:eastAsia="Times New Roman" w:hAnsi="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895"/>
    <w:pPr>
      <w:ind w:left="720"/>
      <w:contextualSpacing/>
    </w:pPr>
  </w:style>
  <w:style w:type="paragraph" w:styleId="FootnoteText">
    <w:name w:val="footnote text"/>
    <w:basedOn w:val="Normal"/>
    <w:link w:val="FootnoteTextChar"/>
    <w:uiPriority w:val="99"/>
    <w:semiHidden/>
    <w:unhideWhenUsed/>
    <w:rsid w:val="000448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89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44895"/>
    <w:rPr>
      <w:vertAlign w:val="superscript"/>
    </w:rPr>
  </w:style>
  <w:style w:type="character" w:styleId="CommentReference">
    <w:name w:val="annotation reference"/>
    <w:basedOn w:val="DefaultParagraphFont"/>
    <w:uiPriority w:val="99"/>
    <w:semiHidden/>
    <w:unhideWhenUsed/>
    <w:rsid w:val="00613701"/>
    <w:rPr>
      <w:sz w:val="16"/>
      <w:szCs w:val="16"/>
    </w:rPr>
  </w:style>
  <w:style w:type="paragraph" w:styleId="CommentText">
    <w:name w:val="annotation text"/>
    <w:basedOn w:val="Normal"/>
    <w:link w:val="CommentTextChar"/>
    <w:uiPriority w:val="99"/>
    <w:semiHidden/>
    <w:unhideWhenUsed/>
    <w:rsid w:val="00613701"/>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13701"/>
    <w:rPr>
      <w:sz w:val="20"/>
      <w:szCs w:val="20"/>
    </w:rPr>
  </w:style>
  <w:style w:type="paragraph" w:styleId="BalloonText">
    <w:name w:val="Balloon Text"/>
    <w:basedOn w:val="Normal"/>
    <w:link w:val="BalloonTextChar"/>
    <w:uiPriority w:val="99"/>
    <w:semiHidden/>
    <w:unhideWhenUsed/>
    <w:rsid w:val="00613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701"/>
    <w:rPr>
      <w:rFonts w:ascii="Tahoma" w:eastAsia="Calibri" w:hAnsi="Tahoma" w:cs="Tahoma"/>
      <w:sz w:val="16"/>
      <w:szCs w:val="16"/>
    </w:rPr>
  </w:style>
  <w:style w:type="character" w:customStyle="1" w:styleId="Heading4Char">
    <w:name w:val="Heading 4 Char"/>
    <w:basedOn w:val="DefaultParagraphFont"/>
    <w:link w:val="Heading4"/>
    <w:uiPriority w:val="9"/>
    <w:rsid w:val="00200F92"/>
    <w:rPr>
      <w:rFonts w:ascii="Times New Roman" w:eastAsia="Times New Roman" w:hAnsi="Times New Roman" w:cs="Times New Roman"/>
      <w:b/>
      <w:bCs/>
      <w:sz w:val="24"/>
      <w:szCs w:val="24"/>
      <w:lang w:eastAsia="en-IE"/>
    </w:rPr>
  </w:style>
  <w:style w:type="paragraph" w:styleId="NormalWeb">
    <w:name w:val="Normal (Web)"/>
    <w:basedOn w:val="Normal"/>
    <w:uiPriority w:val="99"/>
    <w:unhideWhenUsed/>
    <w:rsid w:val="00200F92"/>
    <w:pPr>
      <w:spacing w:before="100" w:beforeAutospacing="1" w:after="100" w:afterAutospacing="1" w:line="240" w:lineRule="auto"/>
    </w:pPr>
    <w:rPr>
      <w:rFonts w:ascii="Times New Roman" w:eastAsia="Times New Roman" w:hAnsi="Times New Roman"/>
      <w:sz w:val="24"/>
      <w:szCs w:val="24"/>
      <w:lang w:eastAsia="en-IE"/>
    </w:rPr>
  </w:style>
  <w:style w:type="character" w:styleId="Emphasis">
    <w:name w:val="Emphasis"/>
    <w:basedOn w:val="DefaultParagraphFont"/>
    <w:uiPriority w:val="20"/>
    <w:qFormat/>
    <w:rsid w:val="00200F92"/>
    <w:rPr>
      <w:i/>
      <w:iCs/>
    </w:rPr>
  </w:style>
  <w:style w:type="character" w:styleId="Hyperlink">
    <w:name w:val="Hyperlink"/>
    <w:basedOn w:val="DefaultParagraphFont"/>
    <w:uiPriority w:val="99"/>
    <w:semiHidden/>
    <w:unhideWhenUsed/>
    <w:rsid w:val="00200F92"/>
    <w:rPr>
      <w:color w:val="0000FF"/>
      <w:u w:val="single"/>
    </w:rPr>
  </w:style>
  <w:style w:type="character" w:styleId="Strong">
    <w:name w:val="Strong"/>
    <w:basedOn w:val="DefaultParagraphFont"/>
    <w:uiPriority w:val="22"/>
    <w:qFormat/>
    <w:rsid w:val="00200F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895"/>
    <w:rPr>
      <w:rFonts w:ascii="Calibri" w:eastAsia="Calibri" w:hAnsi="Calibri" w:cs="Times New Roman"/>
    </w:rPr>
  </w:style>
  <w:style w:type="paragraph" w:styleId="Heading4">
    <w:name w:val="heading 4"/>
    <w:basedOn w:val="Normal"/>
    <w:link w:val="Heading4Char"/>
    <w:uiPriority w:val="9"/>
    <w:qFormat/>
    <w:rsid w:val="00200F92"/>
    <w:pPr>
      <w:spacing w:before="100" w:beforeAutospacing="1" w:after="100" w:afterAutospacing="1" w:line="240" w:lineRule="auto"/>
      <w:outlineLvl w:val="3"/>
    </w:pPr>
    <w:rPr>
      <w:rFonts w:ascii="Times New Roman" w:eastAsia="Times New Roman" w:hAnsi="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895"/>
    <w:pPr>
      <w:ind w:left="720"/>
      <w:contextualSpacing/>
    </w:pPr>
  </w:style>
  <w:style w:type="paragraph" w:styleId="FootnoteText">
    <w:name w:val="footnote text"/>
    <w:basedOn w:val="Normal"/>
    <w:link w:val="FootnoteTextChar"/>
    <w:uiPriority w:val="99"/>
    <w:semiHidden/>
    <w:unhideWhenUsed/>
    <w:rsid w:val="000448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89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44895"/>
    <w:rPr>
      <w:vertAlign w:val="superscript"/>
    </w:rPr>
  </w:style>
  <w:style w:type="character" w:styleId="CommentReference">
    <w:name w:val="annotation reference"/>
    <w:basedOn w:val="DefaultParagraphFont"/>
    <w:uiPriority w:val="99"/>
    <w:semiHidden/>
    <w:unhideWhenUsed/>
    <w:rsid w:val="00613701"/>
    <w:rPr>
      <w:sz w:val="16"/>
      <w:szCs w:val="16"/>
    </w:rPr>
  </w:style>
  <w:style w:type="paragraph" w:styleId="CommentText">
    <w:name w:val="annotation text"/>
    <w:basedOn w:val="Normal"/>
    <w:link w:val="CommentTextChar"/>
    <w:uiPriority w:val="99"/>
    <w:semiHidden/>
    <w:unhideWhenUsed/>
    <w:rsid w:val="00613701"/>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13701"/>
    <w:rPr>
      <w:sz w:val="20"/>
      <w:szCs w:val="20"/>
    </w:rPr>
  </w:style>
  <w:style w:type="paragraph" w:styleId="BalloonText">
    <w:name w:val="Balloon Text"/>
    <w:basedOn w:val="Normal"/>
    <w:link w:val="BalloonTextChar"/>
    <w:uiPriority w:val="99"/>
    <w:semiHidden/>
    <w:unhideWhenUsed/>
    <w:rsid w:val="00613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701"/>
    <w:rPr>
      <w:rFonts w:ascii="Tahoma" w:eastAsia="Calibri" w:hAnsi="Tahoma" w:cs="Tahoma"/>
      <w:sz w:val="16"/>
      <w:szCs w:val="16"/>
    </w:rPr>
  </w:style>
  <w:style w:type="character" w:customStyle="1" w:styleId="Heading4Char">
    <w:name w:val="Heading 4 Char"/>
    <w:basedOn w:val="DefaultParagraphFont"/>
    <w:link w:val="Heading4"/>
    <w:uiPriority w:val="9"/>
    <w:rsid w:val="00200F92"/>
    <w:rPr>
      <w:rFonts w:ascii="Times New Roman" w:eastAsia="Times New Roman" w:hAnsi="Times New Roman" w:cs="Times New Roman"/>
      <w:b/>
      <w:bCs/>
      <w:sz w:val="24"/>
      <w:szCs w:val="24"/>
      <w:lang w:eastAsia="en-IE"/>
    </w:rPr>
  </w:style>
  <w:style w:type="paragraph" w:styleId="NormalWeb">
    <w:name w:val="Normal (Web)"/>
    <w:basedOn w:val="Normal"/>
    <w:uiPriority w:val="99"/>
    <w:unhideWhenUsed/>
    <w:rsid w:val="00200F92"/>
    <w:pPr>
      <w:spacing w:before="100" w:beforeAutospacing="1" w:after="100" w:afterAutospacing="1" w:line="240" w:lineRule="auto"/>
    </w:pPr>
    <w:rPr>
      <w:rFonts w:ascii="Times New Roman" w:eastAsia="Times New Roman" w:hAnsi="Times New Roman"/>
      <w:sz w:val="24"/>
      <w:szCs w:val="24"/>
      <w:lang w:eastAsia="en-IE"/>
    </w:rPr>
  </w:style>
  <w:style w:type="character" w:styleId="Emphasis">
    <w:name w:val="Emphasis"/>
    <w:basedOn w:val="DefaultParagraphFont"/>
    <w:uiPriority w:val="20"/>
    <w:qFormat/>
    <w:rsid w:val="00200F92"/>
    <w:rPr>
      <w:i/>
      <w:iCs/>
    </w:rPr>
  </w:style>
  <w:style w:type="character" w:styleId="Hyperlink">
    <w:name w:val="Hyperlink"/>
    <w:basedOn w:val="DefaultParagraphFont"/>
    <w:uiPriority w:val="99"/>
    <w:semiHidden/>
    <w:unhideWhenUsed/>
    <w:rsid w:val="00200F92"/>
    <w:rPr>
      <w:color w:val="0000FF"/>
      <w:u w:val="single"/>
    </w:rPr>
  </w:style>
  <w:style w:type="character" w:styleId="Strong">
    <w:name w:val="Strong"/>
    <w:basedOn w:val="DefaultParagraphFont"/>
    <w:uiPriority w:val="22"/>
    <w:qFormat/>
    <w:rsid w:val="00200F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16764">
      <w:bodyDiv w:val="1"/>
      <w:marLeft w:val="0"/>
      <w:marRight w:val="0"/>
      <w:marTop w:val="0"/>
      <w:marBottom w:val="0"/>
      <w:divBdr>
        <w:top w:val="none" w:sz="0" w:space="0" w:color="auto"/>
        <w:left w:val="none" w:sz="0" w:space="0" w:color="auto"/>
        <w:bottom w:val="none" w:sz="0" w:space="0" w:color="auto"/>
        <w:right w:val="none" w:sz="0" w:space="0" w:color="auto"/>
      </w:divBdr>
    </w:div>
    <w:div w:id="1828785748">
      <w:bodyDiv w:val="1"/>
      <w:marLeft w:val="0"/>
      <w:marRight w:val="0"/>
      <w:marTop w:val="0"/>
      <w:marBottom w:val="0"/>
      <w:divBdr>
        <w:top w:val="none" w:sz="0" w:space="0" w:color="auto"/>
        <w:left w:val="none" w:sz="0" w:space="0" w:color="auto"/>
        <w:bottom w:val="none" w:sz="0" w:space="0" w:color="auto"/>
        <w:right w:val="none" w:sz="0" w:space="0" w:color="auto"/>
      </w:divBdr>
    </w:div>
    <w:div w:id="186393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78282471</Template>
  <TotalTime>1</TotalTime>
  <Pages>2</Pages>
  <Words>889</Words>
  <Characters>5068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Emily Vereker</cp:lastModifiedBy>
  <cp:revision>2</cp:revision>
  <cp:lastPrinted>2019-04-08T13:59:00Z</cp:lastPrinted>
  <dcterms:created xsi:type="dcterms:W3CDTF">2019-04-08T14:00:00Z</dcterms:created>
  <dcterms:modified xsi:type="dcterms:W3CDTF">2019-04-08T14:00:00Z</dcterms:modified>
</cp:coreProperties>
</file>